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836"/>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pStyle w:val="847"/>
        <w:ind w:left="0" w:firstLine="0"/>
        <w:rPr>
          <w:rFonts w:hint="eastAsia"/>
        </w:rPr>
      </w:pPr>
      <w:r>
        <w:rPr>
          <w:rFonts w:hint="eastAsia"/>
        </w:rPr>
      </w:r>
      <w:r/>
    </w:p>
    <w:p>
      <w:pPr>
        <w:pStyle w:val="836"/>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837"/>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837"/>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JSZC-320206-SMDG-G2025-0158</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无锡市惠山区人民医院超声机(全身)</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842"/>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五</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十</w:t>
      </w:r>
      <w:r>
        <w:rPr>
          <w:rFonts w:hint="eastAsia" w:ascii="宋体" w:hAnsi="宋体" w:cs="宋体"/>
          <w:b/>
          <w:sz w:val="30"/>
          <w:szCs w:val="30"/>
        </w:rPr>
        <w:t xml:space="preserve">月</w:t>
      </w:r>
      <w:r/>
    </w:p>
    <w:p>
      <w:pPr>
        <w:rPr>
          <w:b/>
          <w:sz w:val="28"/>
          <w:szCs w:val="28"/>
        </w:rPr>
      </w:pPr>
      <w:r>
        <w:rPr>
          <w:b/>
          <w:sz w:val="28"/>
          <w:szCs w:val="28"/>
        </w:rPr>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842"/>
        <w:ind w:left="1260"/>
      </w:pPr>
      <w:r/>
      <w:r/>
    </w:p>
    <w:p>
      <w:pPr>
        <w:rPr>
          <w:rFonts w:hint="eastAsia"/>
        </w:rPr>
      </w:pPr>
      <w:r>
        <w:rPr>
          <w:rFonts w:hint="eastAsia"/>
        </w:rPr>
      </w:r>
      <w:r/>
    </w:p>
    <w:p>
      <w:r/>
      <w:r/>
    </w:p>
    <w:p>
      <w:pPr>
        <w:pStyle w:val="843"/>
        <w:jc w:val="both"/>
        <w:rPr>
          <w:b/>
          <w:bCs/>
          <w:sz w:val="52"/>
          <w:szCs w:val="52"/>
        </w:rPr>
      </w:pPr>
      <w:r>
        <w:rPr>
          <w:b/>
          <w:bCs/>
          <w:sz w:val="52"/>
          <w:szCs w:val="52"/>
        </w:rPr>
      </w:r>
      <w:r/>
    </w:p>
    <w:p>
      <w:pPr>
        <w:pStyle w:val="843"/>
        <w:jc w:val="center"/>
        <w:rPr>
          <w:b/>
          <w:bCs/>
          <w:sz w:val="52"/>
          <w:szCs w:val="52"/>
        </w:rPr>
      </w:pPr>
      <w:r>
        <w:rPr>
          <w:b/>
          <w:bCs/>
          <w:sz w:val="52"/>
          <w:szCs w:val="52"/>
        </w:rPr>
        <w:t xml:space="preserve">目    录</w:t>
      </w:r>
      <w:r/>
    </w:p>
    <w:p>
      <w:pPr>
        <w:pStyle w:val="846"/>
        <w:rPr>
          <w:rFonts w:hint="eastAsia"/>
        </w:rPr>
      </w:pPr>
      <w:r>
        <w:rPr>
          <w:rFonts w:hint="eastAsia"/>
        </w:rPr>
      </w:r>
      <w:r/>
    </w:p>
    <w:p>
      <w:pPr>
        <w:rPr>
          <w:rFonts w:hint="eastAsia"/>
        </w:rPr>
      </w:pPr>
      <w:r>
        <w:rPr>
          <w:rFonts w:hint="eastAsia"/>
        </w:rPr>
      </w:r>
      <w:r/>
    </w:p>
    <w:p>
      <w:pPr>
        <w:pStyle w:val="836"/>
        <w:rPr>
          <w:rFonts w:hint="eastAsia"/>
        </w:rPr>
      </w:pPr>
      <w:r>
        <w:rPr>
          <w:rFonts w:hint="eastAsia"/>
        </w:rPr>
      </w:r>
      <w:r/>
    </w:p>
    <w:p>
      <w:pPr>
        <w:pStyle w:val="848"/>
        <w:ind w:left="0" w:firstLine="723"/>
        <w:jc w:val="both"/>
        <w:spacing w:line="360" w:lineRule="auto"/>
        <w:rPr>
          <w:rStyle w:val="854"/>
          <w:rFonts w:hint="eastAsia" w:ascii="宋体" w:hAnsi="宋体" w:eastAsia="宋体" w:cs="宋体"/>
          <w:b/>
          <w:sz w:val="24"/>
        </w:rPr>
      </w:pPr>
      <w:r>
        <w:rPr>
          <w:rFonts w:hint="eastAsia" w:ascii="宋体" w:hAnsi="宋体" w:eastAsia="宋体" w:cs="宋体"/>
          <w:b/>
          <w:sz w:val="24"/>
        </w:rPr>
      </w:r>
      <w:r/>
    </w:p>
    <w:p>
      <w:pPr>
        <w:pStyle w:val="848"/>
        <w:ind w:left="0" w:right="0" w:firstLine="723"/>
        <w:jc w:val="both"/>
        <w:keepLines w:val="0"/>
        <w:keepNext w:val="0"/>
        <w:pageBreakBefore w:val="0"/>
        <w:spacing w:line="480" w:lineRule="auto"/>
        <w:widowControl w:val="off"/>
        <w:rPr>
          <w:rStyle w:val="854"/>
          <w:rFonts w:hint="eastAsia" w:ascii="宋体" w:hAnsi="宋体" w:eastAsia="宋体" w:cs="宋体"/>
          <w:b/>
          <w:sz w:val="24"/>
        </w:rPr>
        <w:outlineLvl w:val="9"/>
      </w:pPr>
      <w:r>
        <w:rPr>
          <w:rFonts w:hint="eastAsia" w:ascii="宋体" w:hAnsi="宋体" w:eastAsia="宋体" w:cs="宋体"/>
          <w:b/>
          <w:sz w:val="24"/>
        </w:rPr>
      </w:r>
      <w:r/>
    </w:p>
    <w:p>
      <w:pPr>
        <w:pStyle w:val="848"/>
        <w:ind w:left="0" w:right="0" w:firstLine="0"/>
        <w:jc w:val="both"/>
        <w:keepLines w:val="0"/>
        <w:keepNext w:val="0"/>
        <w:pageBreakBefore w:val="0"/>
        <w:spacing w:line="480" w:lineRule="auto"/>
        <w:widowControl w:val="off"/>
        <w:rPr>
          <w:rStyle w:val="854"/>
          <w:rFonts w:hint="eastAsia" w:ascii="宋体" w:hAnsi="宋体" w:eastAsia="宋体" w:cs="宋体"/>
          <w:b/>
          <w:sz w:val="24"/>
        </w:rPr>
        <w:outlineLvl w:val="9"/>
      </w:pPr>
      <w:r>
        <w:rPr>
          <w:rStyle w:val="854"/>
          <w:rFonts w:hint="eastAsia" w:ascii="宋体" w:hAnsi="宋体" w:eastAsia="宋体" w:cs="宋体"/>
          <w:b/>
          <w:sz w:val="24"/>
        </w:rPr>
        <w:t xml:space="preserve">一、投标邀请函 </w:t>
      </w:r>
      <w:r/>
    </w:p>
    <w:p>
      <w:pPr>
        <w:pStyle w:val="848"/>
        <w:ind w:left="0" w:right="0" w:firstLine="0"/>
        <w:jc w:val="both"/>
        <w:keepLines w:val="0"/>
        <w:keepNext w:val="0"/>
        <w:pageBreakBefore w:val="0"/>
        <w:spacing w:line="480" w:lineRule="auto"/>
        <w:widowControl w:val="off"/>
        <w:rPr>
          <w:rStyle w:val="854"/>
          <w:rFonts w:hint="eastAsia" w:ascii="宋体" w:hAnsi="宋体" w:eastAsia="宋体" w:cs="宋体"/>
          <w:b/>
          <w:sz w:val="24"/>
        </w:rPr>
        <w:outlineLvl w:val="9"/>
      </w:pPr>
      <w:r>
        <w:rPr>
          <w:rFonts w:hint="eastAsia" w:ascii="宋体" w:hAnsi="宋体" w:eastAsia="宋体" w:cs="宋体"/>
          <w:b/>
          <w:sz w:val="24"/>
        </w:rPr>
      </w:r>
      <w:r/>
    </w:p>
    <w:p>
      <w:pPr>
        <w:pStyle w:val="848"/>
        <w:ind w:left="0" w:right="0" w:firstLine="0"/>
        <w:jc w:val="both"/>
        <w:keepLines w:val="0"/>
        <w:keepNext w:val="0"/>
        <w:pageBreakBefore w:val="0"/>
        <w:spacing w:line="480" w:lineRule="auto"/>
        <w:widowControl w:val="off"/>
        <w:rPr>
          <w:rStyle w:val="854"/>
          <w:rFonts w:hint="eastAsia" w:ascii="宋体" w:hAnsi="宋体" w:eastAsia="宋体" w:cs="宋体"/>
          <w:b/>
          <w:sz w:val="24"/>
          <w:lang w:eastAsia="zh-CN"/>
        </w:rPr>
        <w:outlineLvl w:val="9"/>
      </w:pPr>
      <w:r>
        <w:rPr>
          <w:rStyle w:val="854"/>
          <w:rFonts w:hint="eastAsia" w:ascii="宋体" w:hAnsi="宋体" w:eastAsia="宋体" w:cs="宋体"/>
          <w:b/>
          <w:sz w:val="24"/>
        </w:rPr>
        <w:t xml:space="preserve">二、投标人须知 </w:t>
      </w:r>
      <w:r/>
    </w:p>
    <w:p>
      <w:pPr>
        <w:pStyle w:val="848"/>
        <w:ind w:left="0" w:right="0" w:firstLine="0"/>
        <w:jc w:val="both"/>
        <w:keepLines w:val="0"/>
        <w:keepNext w:val="0"/>
        <w:pageBreakBefore w:val="0"/>
        <w:spacing w:line="480" w:lineRule="auto"/>
        <w:widowControl w:val="off"/>
        <w:rPr>
          <w:rStyle w:val="854"/>
          <w:rFonts w:hint="eastAsia" w:ascii="宋体" w:hAnsi="宋体" w:eastAsia="宋体" w:cs="宋体"/>
          <w:b/>
          <w:sz w:val="24"/>
        </w:rPr>
        <w:outlineLvl w:val="9"/>
      </w:pPr>
      <w:r>
        <w:rPr>
          <w:rFonts w:hint="eastAsia" w:ascii="宋体" w:hAnsi="宋体" w:eastAsia="宋体" w:cs="宋体"/>
          <w:b/>
          <w:sz w:val="24"/>
        </w:rPr>
      </w:r>
      <w:r/>
    </w:p>
    <w:p>
      <w:pPr>
        <w:pStyle w:val="848"/>
        <w:ind w:left="0" w:right="0" w:firstLine="0"/>
        <w:jc w:val="both"/>
        <w:keepLines w:val="0"/>
        <w:keepNext w:val="0"/>
        <w:pageBreakBefore w:val="0"/>
        <w:spacing w:line="480" w:lineRule="auto"/>
        <w:widowControl w:val="off"/>
        <w:rPr>
          <w:rStyle w:val="854"/>
          <w:rFonts w:hint="eastAsia" w:ascii="宋体" w:hAnsi="宋体" w:eastAsia="宋体" w:cs="宋体"/>
          <w:b/>
          <w:sz w:val="24"/>
          <w:lang w:val="en-US" w:eastAsia="zh-CN"/>
        </w:rPr>
        <w:outlineLvl w:val="9"/>
      </w:pPr>
      <w:r>
        <w:rPr>
          <w:rStyle w:val="854"/>
          <w:rFonts w:hint="eastAsia" w:ascii="宋体" w:hAnsi="宋体" w:eastAsia="宋体" w:cs="宋体"/>
          <w:b/>
          <w:sz w:val="24"/>
        </w:rPr>
        <w:t xml:space="preserve">三、项目要求和有关说明</w:t>
      </w:r>
      <w:r/>
    </w:p>
    <w:p>
      <w:pPr>
        <w:pStyle w:val="848"/>
        <w:ind w:left="0" w:right="0" w:firstLine="0"/>
        <w:jc w:val="both"/>
        <w:keepLines w:val="0"/>
        <w:keepNext w:val="0"/>
        <w:pageBreakBefore w:val="0"/>
        <w:spacing w:line="480" w:lineRule="auto"/>
        <w:widowControl w:val="off"/>
        <w:rPr>
          <w:rStyle w:val="854"/>
          <w:rFonts w:hint="eastAsia" w:ascii="宋体" w:hAnsi="宋体" w:eastAsia="宋体" w:cs="宋体"/>
          <w:b/>
          <w:sz w:val="24"/>
        </w:rPr>
        <w:outlineLvl w:val="9"/>
      </w:pPr>
      <w:r>
        <w:rPr>
          <w:rFonts w:hint="eastAsia" w:ascii="宋体" w:hAnsi="宋体" w:eastAsia="宋体" w:cs="宋体"/>
          <w:b/>
          <w:sz w:val="24"/>
        </w:rPr>
      </w:r>
      <w:r/>
    </w:p>
    <w:p>
      <w:pPr>
        <w:pStyle w:val="848"/>
        <w:numPr>
          <w:ilvl w:val="0"/>
          <w:numId w:val="0"/>
        </w:numPr>
        <w:ind w:left="0" w:right="0" w:firstLine="0"/>
        <w:jc w:val="both"/>
        <w:keepLines w:val="0"/>
        <w:keepNext w:val="0"/>
        <w:pageBreakBefore w:val="0"/>
        <w:spacing w:line="480" w:lineRule="auto"/>
        <w:widowControl w:val="off"/>
        <w:rPr>
          <w:rStyle w:val="854"/>
          <w:rFonts w:hint="default" w:ascii="宋体" w:hAnsi="宋体" w:eastAsia="宋体" w:cs="宋体"/>
          <w:b/>
          <w:sz w:val="24"/>
          <w:lang w:val="en-US" w:eastAsia="zh-CN"/>
        </w:rPr>
        <w:outlineLvl w:val="9"/>
      </w:pPr>
      <w:r>
        <w:rPr>
          <w:rStyle w:val="854"/>
          <w:rFonts w:hint="eastAsia" w:ascii="宋体" w:hAnsi="宋体" w:eastAsia="宋体" w:cs="宋体"/>
          <w:b/>
          <w:sz w:val="24"/>
          <w:lang w:val="en-US" w:eastAsia="zh-CN"/>
        </w:rPr>
        <w:t xml:space="preserve">四、</w:t>
      </w:r>
      <w:r>
        <w:rPr>
          <w:rStyle w:val="854"/>
          <w:rFonts w:hint="eastAsia" w:ascii="宋体" w:hAnsi="宋体" w:eastAsia="宋体" w:cs="宋体"/>
          <w:b/>
          <w:sz w:val="24"/>
        </w:rPr>
        <w:t xml:space="preserve">合同书</w:t>
      </w:r>
      <w:r>
        <w:rPr>
          <w:rStyle w:val="854"/>
          <w:rFonts w:hint="eastAsia" w:ascii="宋体" w:hAnsi="宋体" w:eastAsia="宋体" w:cs="宋体"/>
          <w:b/>
          <w:sz w:val="24"/>
          <w:lang w:eastAsia="zh-CN"/>
        </w:rPr>
        <w:t xml:space="preserve">（</w:t>
      </w:r>
      <w:r>
        <w:rPr>
          <w:rStyle w:val="854"/>
          <w:rFonts w:hint="eastAsia" w:ascii="宋体" w:hAnsi="宋体" w:eastAsia="宋体" w:cs="宋体"/>
          <w:b/>
          <w:sz w:val="24"/>
          <w:lang w:val="en-US" w:eastAsia="zh-CN"/>
        </w:rPr>
        <w:t xml:space="preserve">格式</w:t>
      </w:r>
      <w:r>
        <w:rPr>
          <w:rStyle w:val="854"/>
          <w:rFonts w:hint="eastAsia" w:ascii="宋体" w:hAnsi="宋体" w:eastAsia="宋体" w:cs="宋体"/>
          <w:b/>
          <w:sz w:val="24"/>
          <w:lang w:eastAsia="zh-CN"/>
        </w:rPr>
        <w:t xml:space="preserve">）</w:t>
      </w:r>
      <w:r/>
    </w:p>
    <w:p>
      <w:pPr>
        <w:pStyle w:val="836"/>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848"/>
        <w:ind w:left="0" w:right="0" w:firstLine="0"/>
        <w:jc w:val="left"/>
        <w:keepLines w:val="0"/>
        <w:keepNext w:val="0"/>
        <w:pageBreakBefore w:val="0"/>
        <w:spacing w:line="480" w:lineRule="auto"/>
        <w:widowControl w:val="off"/>
        <w:rPr>
          <w:rStyle w:val="854"/>
          <w:rFonts w:hint="default" w:ascii="宋体" w:hAnsi="宋体" w:eastAsia="宋体" w:cs="宋体"/>
          <w:b/>
          <w:sz w:val="24"/>
          <w:lang w:val="en-US" w:eastAsia="zh-CN"/>
        </w:rPr>
        <w:outlineLvl w:val="9"/>
      </w:pPr>
      <w:r>
        <w:rPr>
          <w:rStyle w:val="854"/>
          <w:rFonts w:hint="eastAsia" w:ascii="宋体" w:hAnsi="宋体" w:eastAsia="宋体" w:cs="宋体"/>
          <w:b/>
          <w:sz w:val="24"/>
          <w:lang w:val="en-US" w:eastAsia="zh-CN"/>
        </w:rPr>
        <w:t xml:space="preserve">五、</w:t>
      </w:r>
      <w:r>
        <w:rPr>
          <w:rStyle w:val="854"/>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ind w:left="0" w:right="0" w:firstLine="0"/>
        <w:jc w:val="center"/>
        <w:keepLines w:val="0"/>
        <w:keepNext w:val="0"/>
        <w:pageBreakBefore w:val="0"/>
        <w:spacing w:line="480" w:lineRule="auto"/>
        <w:widowControl w:val="off"/>
        <w:rPr>
          <w:rFonts w:eastAsia="黑体"/>
          <w:bCs/>
          <w:sz w:val="28"/>
          <w:szCs w:val="28"/>
        </w:rPr>
        <w:outlineLvl w:val="9"/>
      </w:pPr>
      <w:r>
        <w:rPr>
          <w:rFonts w:eastAsia="黑体"/>
          <w:bCs/>
          <w:sz w:val="28"/>
          <w:szCs w:val="28"/>
        </w:rPr>
      </w:r>
      <w:r/>
    </w:p>
    <w:p>
      <w:pPr>
        <w:pStyle w:val="836"/>
        <w:rPr>
          <w:rFonts w:eastAsia="黑体"/>
          <w:bCs w:val="0"/>
          <w:sz w:val="28"/>
          <w:szCs w:val="28"/>
        </w:rPr>
      </w:pPr>
      <w:r>
        <w:rPr>
          <w:rFonts w:eastAsia="黑体"/>
          <w:bCs w:val="0"/>
          <w:sz w:val="28"/>
          <w:szCs w:val="28"/>
        </w:rPr>
      </w:r>
      <w:r/>
    </w:p>
    <w:p>
      <w:pPr>
        <w:rPr>
          <w:rFonts w:eastAsia="黑体"/>
          <w:bCs/>
          <w:sz w:val="28"/>
          <w:szCs w:val="28"/>
        </w:rPr>
      </w:pPr>
      <w:r>
        <w:rPr>
          <w:rFonts w:eastAsia="黑体"/>
          <w:bCs/>
          <w:sz w:val="28"/>
          <w:szCs w:val="28"/>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超声机(全身)</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eastAsia="宋体" w:cs="宋体"/>
          <w:bCs/>
          <w:sz w:val="24"/>
          <w:szCs w:val="24"/>
          <w:lang w:val="en-US" w:eastAsia="zh-CN"/>
        </w:rPr>
        <w:t xml:space="preserve">无锡市惠山区人民医院</w:t>
      </w:r>
      <w:r>
        <w:rPr>
          <w:rFonts w:hint="eastAsia" w:ascii="宋体" w:hAnsi="宋体" w:cs="宋体"/>
          <w:bCs/>
          <w:sz w:val="24"/>
          <w:szCs w:val="24"/>
          <w:lang w:val="en-US" w:eastAsia="zh-CN"/>
        </w:rPr>
        <w:t xml:space="preserve">超声机(全身)</w:t>
      </w:r>
      <w:r/>
    </w:p>
    <w:p>
      <w:pPr>
        <w:ind w:firstLine="480"/>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JSZC-320206-SMDG-G2025-0158</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170.00</w:t>
      </w:r>
      <w:r>
        <w:rPr>
          <w:rFonts w:hint="eastAsia" w:ascii="宋体" w:hAnsi="宋体" w:eastAsia="宋体" w:cs="宋体"/>
          <w:bCs/>
          <w:sz w:val="24"/>
          <w:szCs w:val="24"/>
          <w:lang w:val="en-US" w:eastAsia="zh-CN"/>
        </w:rPr>
        <w:t xml:space="preserve">万元。投标人的投标报价不得超过预算价，否则作无效投标文件处理。</w:t>
      </w:r>
      <w:r/>
    </w:p>
    <w:p>
      <w:pPr>
        <w:ind w:firstLine="480"/>
        <w:keepLines w:val="0"/>
        <w:keepNext w:val="0"/>
        <w:pageBreakBefore w:val="0"/>
        <w:spacing w:line="360"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4.数量：1套</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不</w:t>
      </w:r>
      <w:r>
        <w:rPr>
          <w:rFonts w:hint="eastAsia" w:ascii="宋体" w:hAnsi="宋体" w:eastAsia="宋体" w:cs="宋体"/>
          <w:bCs/>
          <w:sz w:val="24"/>
          <w:szCs w:val="24"/>
          <w:lang w:val="en-US" w:eastAsia="zh-CN"/>
        </w:rPr>
        <w:t xml:space="preserve">接受进口产品投标。</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.本项目是否专门面向中小企业：</w:t>
      </w:r>
      <w:r>
        <w:rPr>
          <w:rFonts w:hint="eastAsia" w:ascii="宋体" w:hAnsi="宋体" w:cs="宋体"/>
          <w:bCs/>
          <w:sz w:val="24"/>
          <w:szCs w:val="24"/>
          <w:lang w:val="en-US" w:eastAsia="zh-CN"/>
        </w:rPr>
        <w:t xml:space="preserve">否</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本项目非专门面</w:t>
      </w:r>
      <w:r>
        <w:rPr>
          <w:rFonts w:hint="eastAsia" w:ascii="宋体" w:hAnsi="宋体" w:eastAsia="宋体" w:cs="宋体"/>
          <w:bCs/>
          <w:color w:val="000000"/>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如根据国家相关政策规定，属于医疗器械监督管理的设备，需具备以下特定资格：</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投标人具有所投产品医疗器械生产许可（或备案）证或经营许可（或备案）证</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）提供有效的医疗器械产品注册证或产品备案凭证。</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yellow"/>
          <w:lang w:val="en-US"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lang w:val="en-US" w:eastAsia="zh-CN"/>
        </w:rPr>
        <w:t xml:space="preserve">至202</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年</w:t>
      </w:r>
      <w:r>
        <w:rPr>
          <w:rFonts w:hint="eastAsia" w:ascii="宋体" w:hAnsi="宋体" w:cs="宋体"/>
          <w:sz w:val="24"/>
          <w:szCs w:val="24"/>
          <w:lang w:val="en-US" w:eastAsia="zh-CN"/>
        </w:rPr>
        <w:t xml:space="preserve">11</w:t>
      </w:r>
      <w:r>
        <w:rPr>
          <w:rFonts w:hint="eastAsia" w:ascii="宋体" w:hAnsi="宋体" w:eastAsia="宋体" w:cs="宋体"/>
          <w:sz w:val="24"/>
          <w:szCs w:val="24"/>
          <w:lang w:val="en-US" w:eastAsia="zh-CN"/>
        </w:rPr>
        <w:t xml:space="preserve">月</w:t>
      </w: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日</w:t>
      </w: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59</w:t>
      </w:r>
      <w:r>
        <w:rPr>
          <w:rFonts w:hint="eastAsia" w:ascii="宋体" w:hAnsi="宋体" w:eastAsia="宋体" w:cs="宋体"/>
          <w:sz w:val="24"/>
          <w:szCs w:val="24"/>
          <w:lang w:val="en-US" w:eastAsia="zh-CN"/>
        </w:rPr>
        <w:t xml:space="preserve">时止（北京时间，法定节假日除外）截止时间后仍可下载招标文件，但不作为供应商权益受到损害的证明材料和依据。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网上投标截止时间：</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11</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20</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14:00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网上投标解密时间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11</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20</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14:00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r/>
    </w:p>
    <w:p>
      <w:pPr>
        <w:numPr>
          <w:ilvl w:val="0"/>
          <w:numId w:val="0"/>
        </w:numPr>
        <w:ind w:firstLine="482"/>
        <w:keepLines w:val="0"/>
        <w:keepNext w:val="0"/>
        <w:pageBreakBefore w:val="0"/>
        <w:spacing w:line="360" w:lineRule="auto"/>
        <w:rPr>
          <w:rFonts w:hint="eastAsia"/>
          <w:b/>
          <w:sz w:val="24"/>
          <w:szCs w:val="24"/>
        </w:rPr>
      </w:pPr>
      <w:r>
        <w:rPr>
          <w:rFonts w:hint="eastAsia" w:ascii="Times New Roman" w:hAnsi="Times New Roman" w:eastAsia="宋体" w:cs="Times New Roman"/>
          <w:b/>
          <w:sz w:val="24"/>
          <w:szCs w:val="24"/>
          <w:lang w:val="en-US" w:eastAsia="zh-CN" w:bidi="ar-SA"/>
        </w:rPr>
        <w:t xml:space="preserve">（五）</w:t>
      </w:r>
      <w:r>
        <w:rPr>
          <w:rFonts w:hint="eastAsia"/>
          <w:b/>
          <w:sz w:val="24"/>
          <w:szCs w:val="24"/>
        </w:rPr>
        <w:t xml:space="preserve">公开答疑时间、地点</w:t>
      </w:r>
      <w:r/>
    </w:p>
    <w:p>
      <w:pPr>
        <w:ind w:firstLine="480"/>
        <w:jc w:val="left"/>
        <w:spacing w:line="360" w:lineRule="auto"/>
        <w:shd w:val="clear" w:color="auto" w:fill="ffffff"/>
        <w:widowControl/>
        <w:rPr>
          <w:rFonts w:hint="eastAsia"/>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人、苏美达国际技术贸易有限公司将以线上不见面、电话咨询、邮件等方式开展线上答疑服务。截止至2025年11</w:t>
      </w:r>
      <w:bookmarkStart w:id="13" w:name="_GoBack"/>
      <w:r/>
      <w:bookmarkEnd w:id="13"/>
      <w:r>
        <w:rPr>
          <w:rFonts w:hint="eastAsia" w:ascii="宋体" w:hAnsi="宋体"/>
          <w:color w:val="000000"/>
          <w:sz w:val="24"/>
          <w:szCs w:val="24"/>
          <w:lang w:val="en-US" w:eastAsia="zh-CN"/>
        </w:rPr>
        <w:t xml:space="preserve">月10日10:00前，有关单位对</w:t>
      </w:r>
      <w:r>
        <w:rPr>
          <w:rFonts w:hint="eastAsia" w:ascii="宋体" w:hAnsi="宋体"/>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 xml:space="preserve">以邮件的方式</w:t>
      </w:r>
      <w:r>
        <w:rPr>
          <w:rFonts w:hint="eastAsia" w:ascii="宋体" w:hAnsi="宋体"/>
          <w:color w:val="000000"/>
          <w:sz w:val="24"/>
          <w:szCs w:val="24"/>
        </w:rPr>
        <w:t xml:space="preserve">给项目联系人。若未在法定时间内提出澄清，由此造成的损失及风险由投标人自行承担</w:t>
      </w:r>
      <w:r>
        <w:rPr>
          <w:rFonts w:hint="eastAsia" w:ascii="宋体" w:hAnsi="宋体"/>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2.本项目无须缴纳投标保证金。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rPr>
        <w:t xml:space="preserve">联系人：</w:t>
      </w:r>
      <w:r>
        <w:rPr>
          <w:rFonts w:hint="eastAsia" w:ascii="宋体" w:hAnsi="宋体" w:eastAsia="宋体" w:cs="宋体"/>
          <w:bCs/>
          <w:sz w:val="24"/>
          <w:szCs w:val="24"/>
          <w:highlight w:val="none"/>
          <w:lang w:val="en-US" w:eastAsia="zh-CN"/>
        </w:rPr>
        <w:t xml:space="preserve">张颖卓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853"/>
          <w:rFonts w:hint="eastAsia" w:ascii="宋体" w:hAnsi="宋体" w:eastAsia="宋体" w:cs="宋体"/>
          <w:sz w:val="24"/>
          <w:szCs w:val="24"/>
          <w:lang w:val="en-US" w:eastAsia="zh-CN"/>
        </w:rPr>
        <w:t xml:space="preserve">zhuzhiyun</w:t>
      </w:r>
      <w:r>
        <w:rPr>
          <w:rStyle w:val="853"/>
          <w:rFonts w:hint="eastAsia" w:ascii="宋体" w:hAnsi="宋体" w:eastAsia="宋体" w:cs="宋体"/>
          <w:sz w:val="24"/>
          <w:szCs w:val="24"/>
        </w:rPr>
        <w:t xml:space="preserve">@sumec.com.c</w:t>
      </w:r>
      <w:r>
        <w:rPr>
          <w:rStyle w:val="853"/>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40"/>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rPr>
          <w:rFonts w:hint="eastAsia" w:eastAsia="宋体"/>
          <w:b/>
          <w:sz w:val="24"/>
          <w:szCs w:val="24"/>
          <w:lang w:eastAsia="zh-CN"/>
        </w:rPr>
      </w:pPr>
      <w:r/>
      <w:bookmarkStart w:id="2" w:name="_Hlk6917373"/>
      <w:r/>
      <w:bookmarkStart w:id="3" w:name="_Hlk529436144"/>
      <w:r/>
      <w:bookmarkStart w:id="4" w:name="_Hlk525992732"/>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bCs/>
          <w:sz w:val="24"/>
          <w:szCs w:val="24"/>
        </w:rPr>
        <w:t xml:space="preserve">投标函</w:t>
      </w:r>
      <w:r>
        <w:rPr>
          <w:rFonts w:hint="eastAsia"/>
          <w:b w:val="0"/>
          <w:bCs w:val="0"/>
          <w:sz w:val="24"/>
          <w:szCs w:val="24"/>
        </w:rPr>
        <w:t xml:space="preserve">（</w:t>
      </w:r>
      <w:r>
        <w:rPr>
          <w:rFonts w:hint="eastAsia"/>
          <w:b/>
          <w:sz w:val="24"/>
          <w:szCs w:val="24"/>
        </w:rPr>
        <w:t xml:space="preserve">格式见附件</w:t>
      </w:r>
      <w:r>
        <w:rPr>
          <w:rFonts w:hint="eastAsia"/>
          <w:b w:val="0"/>
          <w:bCs w:val="0"/>
          <w:sz w:val="24"/>
          <w:szCs w:val="24"/>
        </w:rPr>
        <w:t xml:space="preserve">）</w:t>
      </w:r>
      <w:r>
        <w:rPr>
          <w:rFonts w:hint="eastAsia"/>
          <w:bCs/>
          <w:sz w:val="24"/>
          <w:szCs w:val="24"/>
        </w:rPr>
        <w:t xml:space="preserve">；</w:t>
      </w:r>
      <w:r/>
    </w:p>
    <w:p>
      <w:pPr>
        <w:ind w:firstLine="480"/>
        <w:spacing w:line="360" w:lineRule="auto"/>
        <w:tabs>
          <w:tab w:val="left" w:pos="1050" w:leader="none"/>
        </w:tabs>
        <w:rPr>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bCs/>
          <w:sz w:val="24"/>
          <w:szCs w:val="24"/>
        </w:rPr>
        <w:t xml:space="preserve">资格、资信证明文件：</w:t>
      </w:r>
      <w:r/>
    </w:p>
    <w:p>
      <w:pPr>
        <w:ind w:firstLine="480"/>
        <w:spacing w:line="360" w:lineRule="auto"/>
        <w:tabs>
          <w:tab w:val="left" w:pos="1050" w:leader="none"/>
        </w:tabs>
        <w:rPr>
          <w:bCs/>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bCs/>
          <w:sz w:val="24"/>
          <w:szCs w:val="24"/>
        </w:rPr>
        <w:t xml:space="preserve">关于资格的声明函</w:t>
      </w:r>
      <w:r>
        <w:rPr>
          <w:rFonts w:hint="eastAsia" w:ascii="宋体" w:hAnsi="宋体" w:eastAsia="宋体" w:cs="宋体"/>
          <w:b/>
          <w:bCs/>
          <w:color w:val="000000"/>
          <w:sz w:val="24"/>
          <w:szCs w:val="24"/>
        </w:rPr>
        <w:t xml:space="preserve">扫描件并加盖公章或签电子公章</w:t>
      </w:r>
      <w:r>
        <w:rPr>
          <w:rFonts w:hint="eastAsia"/>
          <w:b w:val="0"/>
          <w:bCs w:val="0"/>
          <w:sz w:val="24"/>
          <w:szCs w:val="24"/>
        </w:rPr>
        <w:t xml:space="preserve">（</w:t>
      </w:r>
      <w:r>
        <w:rPr>
          <w:b/>
          <w:bCs/>
          <w:sz w:val="24"/>
          <w:szCs w:val="24"/>
        </w:rPr>
        <w:t xml:space="preserve">格式见附件</w:t>
      </w:r>
      <w:r>
        <w:rPr>
          <w:rFonts w:hint="eastAsia"/>
          <w:b w:val="0"/>
          <w:bCs w:val="0"/>
          <w:sz w:val="24"/>
          <w:szCs w:val="24"/>
        </w:rPr>
        <w:t xml:space="preserve">）</w:t>
      </w:r>
      <w:r>
        <w:rPr>
          <w:rFonts w:hint="eastAsia"/>
          <w:bCs/>
          <w:sz w:val="24"/>
          <w:szCs w:val="24"/>
        </w:rPr>
        <w:t xml:space="preserve">；</w:t>
      </w:r>
      <w:r/>
    </w:p>
    <w:p>
      <w:pPr>
        <w:ind w:left="0" w:firstLine="480"/>
        <w:keepLines w:val="0"/>
        <w:keepNext w:val="0"/>
        <w:pageBreakBefore w:val="0"/>
        <w:spacing w:line="360" w:lineRule="auto"/>
        <w:tabs>
          <w:tab w:val="left" w:pos="420" w:leader="none"/>
          <w:tab w:val="left" w:pos="1155" w:leader="none"/>
        </w:tabs>
        <w:rPr>
          <w:bCs/>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color w:val="000000"/>
          <w:sz w:val="24"/>
          <w:szCs w:val="24"/>
        </w:rPr>
        <w:t xml:space="preserve">投标供应商企业营业执照副本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p>
    <w:p>
      <w:pPr>
        <w:ind w:firstLine="480"/>
        <w:spacing w:line="360" w:lineRule="auto"/>
        <w:tabs>
          <w:tab w:val="left" w:pos="1260" w:leader="none"/>
        </w:tabs>
        <w:rPr>
          <w:bCs/>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（4）</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（身份证应为正、反面，法定代表人亲自参加投标的除外）；</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bCs/>
          <w:sz w:val="24"/>
          <w:szCs w:val="24"/>
        </w:rPr>
        <w:t xml:space="preserve">投标人近三个月中任意一个月份</w:t>
      </w:r>
      <w:r>
        <w:rPr>
          <w:bCs/>
          <w:sz w:val="24"/>
          <w:szCs w:val="24"/>
        </w:rPr>
        <w:t xml:space="preserve">(</w:t>
      </w:r>
      <w:r>
        <w:rPr>
          <w:rFonts w:hint="eastAsia"/>
          <w:bCs/>
          <w:sz w:val="24"/>
          <w:szCs w:val="24"/>
        </w:rPr>
        <w:t xml:space="preserve">不含投标当月</w:t>
      </w:r>
      <w:r>
        <w:rPr>
          <w:bCs/>
          <w:sz w:val="24"/>
          <w:szCs w:val="24"/>
        </w:rPr>
        <w:t xml:space="preserve">)</w:t>
      </w:r>
      <w:r>
        <w:rPr>
          <w:rFonts w:hint="eastAsia"/>
          <w:bCs/>
          <w:sz w:val="24"/>
          <w:szCs w:val="24"/>
        </w:rPr>
        <w:t xml:space="preserve">的财务状况报告（</w:t>
      </w:r>
      <w:r>
        <w:rPr>
          <w:rFonts w:hint="eastAsia"/>
          <w:bCs/>
          <w:sz w:val="24"/>
          <w:szCs w:val="24"/>
          <w:lang w:val="en-US" w:eastAsia="zh-CN"/>
        </w:rPr>
        <w:t xml:space="preserve">至少包含</w:t>
      </w:r>
      <w:r>
        <w:rPr>
          <w:rFonts w:hint="eastAsia"/>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p>
    <w:p>
      <w:pPr>
        <w:ind w:firstLine="480"/>
        <w:spacing w:line="360" w:lineRule="auto"/>
        <w:tabs>
          <w:tab w:val="left" w:pos="1050" w:leader="none"/>
        </w:tabs>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rPr>
          <w:rFonts w:hint="eastAsia"/>
          <w:b w:val="0"/>
          <w:bCs w:val="0"/>
          <w:color w:val="000000" w:themeColor="text1"/>
          <w:sz w:val="24"/>
          <w:szCs w:val="24"/>
          <w:lang w:val="en-US" w:eastAsia="zh-CN"/>
          <w14:textFill>
            <w14:solidFill>
              <w14:schemeClr w14:val="tx1"/>
            </w14:solidFill>
          </w14:textFill>
        </w:rPr>
        <w:t xml:space="preserve">10</w:t>
      </w:r>
      <w:r>
        <w:rPr>
          <w:rFonts w:hint="eastAsia"/>
          <w:b w:val="0"/>
          <w:bCs w:val="0"/>
          <w:color w:val="000000" w:themeColor="text1"/>
          <w:sz w:val="24"/>
          <w:szCs w:val="24"/>
          <w14:textFill>
            <w14:solidFill>
              <w14:schemeClr w14:val="tx1"/>
            </w14:solidFill>
          </w14:textFill>
        </w:rPr>
        <w:t xml:space="preserve">）采购人要求的特定资质证明</w:t>
      </w:r>
      <w:r>
        <w:rPr>
          <w:rFonts w:hint="eastAsia"/>
          <w:b w:val="0"/>
          <w:bCs w:val="0"/>
          <w:color w:val="000000" w:themeColor="text1"/>
          <w:sz w:val="24"/>
          <w:szCs w:val="24"/>
          <w:lang w:val="en-US" w:eastAsia="zh-CN"/>
          <w14:textFill>
            <w14:solidFill>
              <w14:schemeClr w14:val="tx1"/>
            </w14:solidFill>
          </w14:textFill>
        </w:rPr>
        <w:t xml:space="preserve">扫描件</w:t>
      </w:r>
      <w:r>
        <w:rPr>
          <w:rFonts w:hint="eastAsia"/>
          <w:b w:val="0"/>
          <w:bCs w:val="0"/>
          <w:color w:val="000000" w:themeColor="text1"/>
          <w:sz w:val="24"/>
          <w:szCs w:val="24"/>
          <w14:textFill>
            <w14:solidFill>
              <w14:schemeClr w14:val="tx1"/>
            </w14:solidFill>
          </w14:textFill>
        </w:rPr>
        <w:t xml:space="preserve">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 xml:space="preserve">3</w:t>
      </w:r>
      <w:r>
        <w:rPr>
          <w:rFonts w:hint="eastAsia"/>
          <w:b w:val="0"/>
          <w:bCs w:val="0"/>
          <w:color w:val="000000" w:themeColor="text1"/>
          <w:sz w:val="24"/>
          <w:szCs w:val="24"/>
          <w14:textFill>
            <w14:solidFill>
              <w14:schemeClr w14:val="tx1"/>
            </w14:solidFill>
          </w14:textFill>
        </w:rPr>
        <w:t xml:space="preserve">中要求）</w:t>
      </w:r>
      <w:r>
        <w:rPr>
          <w:rFonts w:hint="eastAsia"/>
          <w:b w:val="0"/>
          <w:bCs w:val="0"/>
          <w:color w:val="000000" w:themeColor="text1"/>
          <w:sz w:val="24"/>
          <w:szCs w:val="24"/>
          <w:lang w:eastAsia="zh-CN"/>
          <w14:textFill>
            <w14:solidFill>
              <w14:schemeClr w14:val="tx1"/>
            </w14:solidFill>
          </w14:textFill>
        </w:rPr>
        <w:t xml:space="preserve">；</w:t>
      </w:r>
      <w:bookmarkEnd w:id="5"/>
      <w:r/>
      <w:r/>
    </w:p>
    <w:p>
      <w:pPr>
        <w:ind w:firstLine="480"/>
        <w:spacing w:line="360" w:lineRule="auto"/>
        <w:tabs>
          <w:tab w:val="left" w:pos="1050" w:leader="none"/>
        </w:tabs>
        <w:rPr>
          <w:rFonts w:hint="eastAsia" w:eastAsia="宋体"/>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w:t>
      </w:r>
      <w:r>
        <w:rPr>
          <w:rFonts w:hint="eastAsia"/>
          <w:bCs/>
          <w:sz w:val="24"/>
          <w:szCs w:val="24"/>
        </w:rPr>
        <w:t xml:space="preserve">承诺书</w:t>
      </w:r>
      <w:r>
        <w:rPr>
          <w:rFonts w:hint="eastAsia"/>
          <w:b w:val="0"/>
          <w:bCs/>
          <w:sz w:val="24"/>
          <w:szCs w:val="24"/>
        </w:rPr>
        <w:t xml:space="preserve">（</w:t>
      </w:r>
      <w:r>
        <w:rPr>
          <w:rFonts w:hint="eastAsia"/>
          <w:b/>
          <w:sz w:val="24"/>
          <w:szCs w:val="24"/>
        </w:rPr>
        <w:t xml:space="preserve">格式见附件</w:t>
      </w:r>
      <w:r>
        <w:rPr>
          <w:rFonts w:hint="eastAsia"/>
          <w:b w:val="0"/>
          <w:bCs/>
          <w:sz w:val="24"/>
          <w:szCs w:val="24"/>
        </w:rPr>
        <w:t xml:space="preserve">）</w:t>
      </w:r>
      <w:r/>
    </w:p>
    <w:p>
      <w:pPr>
        <w:ind w:firstLine="480"/>
        <w:spacing w:line="360" w:lineRule="auto"/>
        <w:tabs>
          <w:tab w:val="left" w:pos="1050" w:leader="none"/>
        </w:tabs>
        <w:rPr>
          <w:rFonts w:hint="eastAsia"/>
          <w:bCs/>
          <w:sz w:val="24"/>
          <w:szCs w:val="24"/>
          <w:lang w:val="en-US" w:eastAsia="zh-CN"/>
        </w:rPr>
      </w:pPr>
      <w:r>
        <w:rPr>
          <w:rFonts w:hint="eastAsia"/>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开标一览表</w:t>
      </w:r>
      <w:r/>
    </w:p>
    <w:p>
      <w:pPr>
        <w:ind w:firstLine="480"/>
        <w:spacing w:line="360" w:lineRule="auto"/>
        <w:tabs>
          <w:tab w:val="left" w:pos="1260" w:leader="none"/>
        </w:tabs>
        <w:rPr>
          <w:rFonts w:hint="eastAsia"/>
          <w:b/>
          <w:bCs w:val="0"/>
          <w:sz w:val="24"/>
          <w:szCs w:val="24"/>
          <w:lang w:val="en-US" w:eastAsia="zh-CN"/>
        </w:rPr>
      </w:pPr>
      <w:r>
        <w:rPr>
          <w:rFonts w:hint="eastAsia"/>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bCs/>
          <w:sz w:val="24"/>
          <w:szCs w:val="24"/>
          <w:lang w:val="en-US" w:eastAsia="zh-CN"/>
        </w:rPr>
        <w:t xml:space="preserve">细目报价表</w:t>
      </w:r>
      <w:r>
        <w:rPr>
          <w:rFonts w:hint="eastAsia"/>
          <w:b/>
          <w:bCs w:val="0"/>
          <w:sz w:val="24"/>
          <w:szCs w:val="24"/>
          <w:lang w:val="en-US" w:eastAsia="zh-CN"/>
        </w:rPr>
        <w:t xml:space="preserve">（格式见附件）</w:t>
      </w:r>
      <w:bookmarkEnd w:id="2"/>
      <w:r/>
      <w:bookmarkEnd w:id="3"/>
      <w:r/>
      <w:bookmarkEnd w:id="4"/>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b/>
          <w:sz w:val="24"/>
          <w:szCs w:val="24"/>
        </w:rPr>
        <w:t xml:space="preserve">（格式见附件）</w:t>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b/>
          <w:sz w:val="24"/>
          <w:szCs w:val="24"/>
        </w:rPr>
        <w:t xml:space="preserve">（格式见附件）</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bCs/>
          <w:sz w:val="24"/>
          <w:szCs w:val="24"/>
          <w:lang w:val="zh-CN" w:eastAsia="zh-CN"/>
        </w:rPr>
        <w:t xml:space="preserve">设备主要性能的</w:t>
      </w:r>
      <w:r>
        <w:rPr>
          <w:rFonts w:hint="eastAsia"/>
          <w:bCs/>
          <w:sz w:val="24"/>
          <w:szCs w:val="24"/>
          <w:lang w:val="en-US" w:eastAsia="zh-CN"/>
        </w:rPr>
        <w:t xml:space="preserve">技术</w:t>
      </w:r>
      <w:r>
        <w:rPr>
          <w:rFonts w:hint="eastAsia"/>
          <w:bCs/>
          <w:sz w:val="24"/>
          <w:szCs w:val="24"/>
          <w:lang w:val="zh-CN" w:eastAsia="zh-CN"/>
        </w:rPr>
        <w:t xml:space="preserve">资料</w:t>
      </w:r>
      <w:r>
        <w:rPr>
          <w:rFonts w:hint="eastAsia"/>
          <w:bCs/>
          <w:sz w:val="24"/>
          <w:szCs w:val="24"/>
          <w:lang w:val="en-US" w:eastAsia="zh-CN"/>
        </w:rPr>
        <w:t xml:space="preserve">以及</w:t>
      </w:r>
      <w:r>
        <w:rPr>
          <w:rFonts w:hint="eastAsia"/>
          <w:bCs/>
          <w:sz w:val="24"/>
          <w:szCs w:val="24"/>
          <w:lang w:val="zh-CN" w:eastAsia="zh-CN"/>
        </w:rPr>
        <w:t xml:space="preserve">供应商认为需要提供的其他技术资料</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售后服务实施方案等</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评分标准中对应的所需证明材料（如有自行添加）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10</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要求采购人提供的配合（如有自拟并自行添加）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11</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项必须全部提供</w:t>
      </w:r>
      <w:r>
        <w:rPr>
          <w:rFonts w:ascii="宋体"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资信</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7</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8</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9</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三</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2"/>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2"/>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2"/>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2"/>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2"/>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2"/>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pStyle w:val="860"/>
        <w:ind w:firstLine="482"/>
        <w:spacing w:line="360" w:lineRule="auto"/>
        <w:rPr>
          <w:rFonts w:hint="eastAsia" w:ascii="宋体" w:hAnsi="宋体" w:cs="宋体"/>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3"/>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）预算或最高限价的；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4"/>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4"/>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4"/>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4"/>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4"/>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4"/>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rPr>
        <w:t xml:space="preserve">澄清有关问题。对投标文件中含义不明确、同类问题表述不一致或者有明显文字和计算错误的内容，评标委员会可以通过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发起询标要求投标人作出必要的澄清、说明或者纠正。投标人的澄清、说明或者补正应当通过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投标人的报价均超过采购预算，采购人不能支付的；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keepLines w:val="0"/>
        <w:keepNext w:val="0"/>
        <w:pageBreakBefore w:val="0"/>
        <w:spacing w:line="360" w:lineRule="auto"/>
        <w:tabs>
          <w:tab w:val="left" w:pos="1050" w:leader="none"/>
        </w:tabs>
        <w:rPr>
          <w:rFonts w:hint="eastAsia" w:ascii="宋体" w:hAnsi="宋体" w:eastAsia="宋体" w:cs="宋体"/>
          <w:bCs/>
          <w:sz w:val="24"/>
          <w:szCs w:val="24"/>
          <w:highlight w:val="none"/>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w:t>
      </w:r>
      <w:r>
        <w:rPr>
          <w:rFonts w:hint="eastAsia" w:ascii="宋体" w:hAnsi="宋体" w:eastAsia="宋体" w:cs="宋体"/>
          <w:bCs/>
          <w:sz w:val="24"/>
          <w:szCs w:val="24"/>
          <w:highlight w:val="none"/>
        </w:rPr>
        <w:t xml:space="preserve">技术贸易有限公司将根据具体情况提请政府采购管理部门作出相应处理。</w:t>
      </w:r>
      <w:r/>
    </w:p>
    <w:p>
      <w:pPr>
        <w:ind w:firstLine="480"/>
        <w:keepLines w:val="0"/>
        <w:keepNext w:val="0"/>
        <w:pageBreakBefore w:val="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839"/>
        <w:jc w:val="left"/>
        <w:rPr>
          <w:rFonts w:hint="eastAsia" w:ascii="Times New Roman" w:hAnsi="Times New Roman"/>
          <w:bCs/>
          <w:spacing w:val="0"/>
          <w:szCs w:val="24"/>
        </w:rPr>
      </w:pPr>
      <w:r>
        <w:rPr>
          <w:rFonts w:hint="eastAsia" w:ascii="Times New Roman" w:hAnsi="Times New Roman"/>
          <w:bCs/>
          <w:spacing w:val="0"/>
          <w:szCs w:val="24"/>
        </w:rPr>
      </w:r>
      <w:r/>
    </w:p>
    <w:p>
      <w:pPr>
        <w:pStyle w:val="839"/>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39"/>
        <w:jc w:val="left"/>
        <w:rPr>
          <w:rFonts w:hint="eastAsia" w:ascii="Times New Roman" w:hAnsi="Times New Roman"/>
          <w:bCs/>
          <w:spacing w:val="0"/>
          <w:szCs w:val="24"/>
        </w:rPr>
      </w:pPr>
      <w:r>
        <w:rPr>
          <w:rFonts w:hint="eastAsia" w:ascii="Times New Roman" w:hAnsi="Times New Roman"/>
          <w:bCs/>
          <w:spacing w:val="0"/>
          <w:szCs w:val="24"/>
        </w:rPr>
      </w:r>
      <w:r/>
    </w:p>
    <w:p>
      <w:pPr>
        <w:pStyle w:val="839"/>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pStyle w:val="840"/>
        <w:rPr>
          <w:rFonts w:ascii="Times New Roman" w:hAnsi="Times New Roman"/>
          <w:bCs/>
          <w:spacing w:val="0"/>
          <w:szCs w:val="24"/>
        </w:rPr>
      </w:pPr>
      <w:r>
        <w:rPr>
          <w:rFonts w:ascii="Times New Roman" w:hAnsi="Times New Roman"/>
          <w:bCs/>
          <w:spacing w:val="0"/>
          <w:szCs w:val="24"/>
        </w:rPr>
      </w:r>
      <w:r/>
    </w:p>
    <w:p>
      <w:pPr>
        <w:numPr>
          <w:ilvl w:val="0"/>
          <w:numId w:val="5"/>
        </w:num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rPr>
        <w:t xml:space="preserve">项目要求和有关说明</w:t>
      </w:r>
      <w:bookmarkStart w:id="7" w:name="_Hlk39848466"/>
      <w:r/>
      <w:r/>
    </w:p>
    <w:p>
      <w:pPr>
        <w:pStyle w:val="836"/>
        <w:rPr>
          <w:rFonts w:hint="eastAsia"/>
        </w:rPr>
      </w:pPr>
      <w:r>
        <w:rPr>
          <w:rFonts w:hint="eastAsia"/>
        </w:rPr>
      </w:r>
      <w:bookmarkEnd w:id="7"/>
      <w:r/>
      <w:r/>
    </w:p>
    <w:p>
      <w:pPr>
        <w:numPr>
          <w:ilvl w:val="0"/>
          <w:numId w:val="6"/>
        </w:num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1、主机*1套；</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2、腹部二维探头*1把；</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3、线阵血管探头*1把；</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4、高频小器官探头*1把</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5、超高频探头*1把</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6、直肠探头*1把</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7、二维腔内探头*1把</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8、小微凸探头*1把</w:t>
      </w:r>
      <w:r/>
    </w:p>
    <w:p>
      <w:pPr>
        <w:keepLines w:val="0"/>
        <w:keepNext w:val="0"/>
        <w:pageBreakBefore w:val="0"/>
        <w:spacing w:line="36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9、工作站及打印机*1套</w:t>
      </w:r>
      <w:r/>
    </w:p>
    <w:p>
      <w:pPr>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numPr>
          <w:ilvl w:val="0"/>
          <w:numId w:val="6"/>
        </w:numPr>
        <w:ind w:left="0" w:firstLine="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技术要求：</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、显示器：≥23英寸显示器，显示器可以上下、前后、左右自由活动、仰俯，具备1,920 x 1,080x 24比特的分辨率，旋转角度可达+/-360度。</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2</w:t>
      </w:r>
      <w:r>
        <w:rPr>
          <w:rFonts w:hint="eastAsia" w:ascii="宋体" w:hAnsi="宋体" w:eastAsia="宋体" w:cs="宋体"/>
          <w:bCs/>
          <w:sz w:val="24"/>
          <w:szCs w:val="24"/>
          <w:lang w:val="en-US" w:eastAsia="zh-CN" w:bidi="ar-SA"/>
        </w:rPr>
        <w:t xml:space="preserve">、具备≥14英寸彩色LED触摸控制屏,显示分辨率: </w:t>
      </w:r>
      <w:r>
        <w:rPr>
          <w:rFonts w:hint="eastAsia" w:ascii="宋体" w:hAnsi="宋体" w:eastAsia="宋体" w:cs="宋体"/>
          <w:bCs/>
          <w:sz w:val="24"/>
          <w:szCs w:val="24"/>
          <w:lang w:val="en-US" w:eastAsia="ko-KR" w:bidi="ar-SA"/>
        </w:rPr>
        <w:t xml:space="preserve">1,920 </w:t>
      </w:r>
      <w:r>
        <w:rPr>
          <w:rFonts w:hint="eastAsia" w:ascii="宋体" w:hAnsi="宋体" w:eastAsia="宋体" w:cs="宋体"/>
          <w:bCs/>
          <w:sz w:val="24"/>
          <w:szCs w:val="24"/>
          <w:lang w:val="en-US" w:eastAsia="zh-CN" w:bidi="ar-SA"/>
        </w:rPr>
        <w:t xml:space="preserve">x </w:t>
      </w:r>
      <w:r>
        <w:rPr>
          <w:rFonts w:hint="eastAsia" w:ascii="宋体" w:hAnsi="宋体" w:eastAsia="宋体" w:cs="宋体"/>
          <w:bCs/>
          <w:sz w:val="24"/>
          <w:szCs w:val="24"/>
          <w:lang w:val="en-US" w:eastAsia="ko-KR" w:bidi="ar-SA"/>
        </w:rPr>
        <w:t xml:space="preserve">1,080</w:t>
      </w:r>
      <w:r>
        <w:rPr>
          <w:rFonts w:hint="eastAsia" w:ascii="宋体" w:hAnsi="宋体" w:eastAsia="宋体" w:cs="宋体"/>
          <w:bCs/>
          <w:sz w:val="24"/>
          <w:szCs w:val="24"/>
          <w:lang w:val="en-US" w:eastAsia="zh-CN" w:bidi="ar-SA"/>
        </w:rPr>
        <w:t xml:space="preserve">。</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CN" w:bidi="ar-SA"/>
        </w:rPr>
        <w:t xml:space="preserve">、数字化8段TGC分布于触摸屏，且可随不同预设保存。</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4</w:t>
      </w:r>
      <w:r>
        <w:rPr>
          <w:rFonts w:hint="eastAsia" w:ascii="宋体" w:hAnsi="宋体" w:eastAsia="宋体" w:cs="宋体"/>
          <w:bCs/>
          <w:sz w:val="24"/>
          <w:szCs w:val="24"/>
          <w:lang w:val="en-US" w:eastAsia="zh-CN" w:bidi="ar-SA"/>
        </w:rPr>
        <w:t xml:space="preserve">、主机成像通道数：≥</w:t>
      </w:r>
      <w:r>
        <w:rPr>
          <w:rFonts w:hint="eastAsia" w:ascii="宋体" w:hAnsi="宋体" w:cs="宋体"/>
          <w:bCs/>
          <w:sz w:val="24"/>
          <w:szCs w:val="24"/>
          <w:lang w:val="en-US" w:eastAsia="zh-CN" w:bidi="ar-SA"/>
        </w:rPr>
        <w:t xml:space="preserve">38</w:t>
      </w:r>
      <w:r>
        <w:rPr>
          <w:rFonts w:hint="eastAsia" w:ascii="宋体" w:hAnsi="宋体" w:eastAsia="宋体" w:cs="宋体"/>
          <w:bCs/>
          <w:sz w:val="24"/>
          <w:szCs w:val="24"/>
          <w:lang w:val="en-US" w:eastAsia="zh-CN" w:bidi="ar-SA"/>
        </w:rPr>
        <w:t xml:space="preserve">,000,000。</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5</w:t>
      </w:r>
      <w:r>
        <w:rPr>
          <w:rFonts w:hint="eastAsia" w:ascii="宋体" w:hAnsi="宋体" w:eastAsia="宋体" w:cs="宋体"/>
          <w:bCs/>
          <w:sz w:val="24"/>
          <w:szCs w:val="24"/>
          <w:lang w:val="en-US" w:eastAsia="zh-CN" w:bidi="ar-SA"/>
        </w:rPr>
        <w:t xml:space="preserve">、系统最大动态范围：≥360dB。</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6</w:t>
      </w:r>
      <w:r>
        <w:rPr>
          <w:rFonts w:hint="eastAsia" w:ascii="宋体" w:hAnsi="宋体" w:eastAsia="宋体" w:cs="宋体"/>
          <w:bCs/>
          <w:sz w:val="24"/>
          <w:szCs w:val="24"/>
          <w:lang w:val="en-US" w:eastAsia="zh-CN" w:bidi="ar-SA"/>
        </w:rPr>
        <w:t xml:space="preserve">、系统最大扫查深度：≥</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CN" w:bidi="ar-SA"/>
        </w:rPr>
        <w:t xml:space="preserve">5cm。</w:t>
      </w:r>
      <w:r/>
    </w:p>
    <w:p>
      <w:pPr>
        <w:pStyle w:val="855"/>
        <w:ind w:firstLine="0"/>
        <w:spacing w:line="360" w:lineRule="auto"/>
        <w:widowControl/>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rPr>
        <w:t xml:space="preserve">具备</w:t>
      </w:r>
      <w:r>
        <w:rPr>
          <w:rFonts w:hint="eastAsia" w:ascii="宋体" w:hAnsi="宋体" w:eastAsia="宋体" w:cs="宋体"/>
          <w:bCs/>
          <w:sz w:val="24"/>
          <w:szCs w:val="24"/>
          <w:highlight w:val="none"/>
        </w:rPr>
        <w:t xml:space="preserve">超微血流成像技术</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可测量低速细小血流。</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8</w:t>
      </w:r>
      <w:r>
        <w:rPr>
          <w:rFonts w:hint="eastAsia" w:ascii="宋体" w:hAnsi="宋体" w:eastAsia="宋体" w:cs="宋体"/>
          <w:bCs/>
          <w:sz w:val="24"/>
          <w:szCs w:val="24"/>
          <w:lang w:val="en-US" w:eastAsia="zh-CN" w:bidi="ar-SA"/>
        </w:rPr>
        <w:t xml:space="preserve">、具备在机TIC曲线分析，支持≥8个参数分析。</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cs="宋体"/>
          <w:bCs/>
          <w:sz w:val="24"/>
          <w:szCs w:val="24"/>
          <w:lang w:val="en-US" w:eastAsia="zh-CN" w:bidi="ar-SA"/>
        </w:rPr>
        <w:t xml:space="preserve">9</w:t>
      </w:r>
      <w:r>
        <w:rPr>
          <w:rFonts w:hint="eastAsia" w:ascii="宋体" w:hAnsi="宋体" w:eastAsia="宋体" w:cs="宋体"/>
          <w:bCs/>
          <w:sz w:val="24"/>
          <w:szCs w:val="24"/>
          <w:lang w:val="en-US" w:eastAsia="zh-CN" w:bidi="ar-SA"/>
        </w:rPr>
        <w:t xml:space="preserve">、</w:t>
      </w:r>
      <w:r>
        <w:rPr>
          <w:rFonts w:hint="eastAsia" w:ascii="宋体" w:hAnsi="宋体" w:eastAsia="宋体" w:cs="宋体"/>
          <w:sz w:val="24"/>
          <w:szCs w:val="24"/>
          <w:lang w:val="en-US" w:eastAsia="zh-CN" w:bidi="ar-SA"/>
        </w:rPr>
        <w:t xml:space="preserve">支持</w:t>
      </w:r>
      <w:r>
        <w:rPr>
          <w:rFonts w:hint="eastAsia" w:ascii="宋体" w:hAnsi="宋体" w:eastAsia="宋体" w:cs="宋体"/>
          <w:bCs/>
          <w:sz w:val="24"/>
          <w:szCs w:val="24"/>
          <w:lang w:val="en-US" w:eastAsia="zh-CN" w:bidi="ar-SA"/>
        </w:rPr>
        <w:t xml:space="preserve">剪切波弹性成像。</w:t>
      </w:r>
      <w:r/>
    </w:p>
    <w:p>
      <w:pPr>
        <w:pStyle w:val="855"/>
        <w:ind w:firstLine="0"/>
        <w:spacing w:line="360" w:lineRule="auto"/>
        <w:widowControl/>
        <w:rPr>
          <w:rFonts w:hint="eastAsia" w:ascii="宋体" w:hAnsi="宋体" w:cs="宋体"/>
          <w:sz w:val="21"/>
          <w:szCs w:val="21"/>
          <w:highlight w:val="red"/>
          <w:lang w:eastAsia="zh-CN"/>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rPr>
        <w:t xml:space="preserve">具备脂肪肝含量定量测量技术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可输出组织衰减系数、组织散射系数</w:t>
      </w:r>
      <w:r>
        <w:rPr>
          <w:rFonts w:hint="eastAsia" w:ascii="宋体" w:hAnsi="宋体" w:eastAsia="宋体" w:cs="宋体"/>
          <w:sz w:val="24"/>
          <w:szCs w:val="24"/>
          <w:highlight w:val="none"/>
          <w:lang w:eastAsia="zh-CN"/>
        </w:rPr>
        <w:t xml:space="preserve">。</w:t>
      </w:r>
      <w:r/>
    </w:p>
    <w:p>
      <w:pPr>
        <w:numPr>
          <w:ilvl w:val="0"/>
          <w:numId w:val="0"/>
        </w:numPr>
        <w:ind w:left="0" w:firstLine="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、支持甲状腺人工智能。</w:t>
      </w:r>
      <w:r/>
    </w:p>
    <w:p>
      <w:pPr>
        <w:numPr>
          <w:ilvl w:val="0"/>
          <w:numId w:val="0"/>
        </w:numPr>
        <w:ind w:left="0" w:firstLine="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、支持乳腺人工智能。</w:t>
      </w:r>
      <w:r/>
    </w:p>
    <w:p>
      <w:pPr>
        <w:numPr>
          <w:ilvl w:val="0"/>
          <w:numId w:val="0"/>
        </w:numPr>
        <w:ind w:left="0" w:firstLine="0"/>
        <w:jc w:val="both"/>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CN" w:bidi="ar-SA"/>
        </w:rPr>
        <w:t xml:space="preserve">、取样宽度及位置范围：多级可调，最小取样宽度0.5mm，最大20mm。</w:t>
      </w:r>
      <w:r/>
    </w:p>
    <w:p>
      <w:pPr>
        <w:numPr>
          <w:ilvl w:val="0"/>
          <w:numId w:val="0"/>
        </w:numPr>
        <w:ind w:left="0" w:firstLine="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、支持单晶体凸阵探头。</w:t>
      </w:r>
      <w:r/>
    </w:p>
    <w:p>
      <w:pPr>
        <w:numPr>
          <w:ilvl w:val="0"/>
          <w:numId w:val="0"/>
        </w:numPr>
        <w:ind w:left="0" w:firstLine="0"/>
        <w:jc w:val="both"/>
        <w:spacing w:line="336"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、支持单晶体线阵探头。</w:t>
      </w:r>
      <w:r/>
    </w:p>
    <w:p>
      <w:pPr>
        <w:numPr>
          <w:ilvl w:val="0"/>
          <w:numId w:val="0"/>
        </w:numPr>
        <w:ind w:left="0" w:firstLine="0"/>
        <w:jc w:val="both"/>
        <w:spacing w:line="336"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cs="宋体"/>
          <w:bCs/>
          <w:sz w:val="24"/>
          <w:szCs w:val="24"/>
          <w:lang w:val="en-US" w:eastAsia="zh-CN" w:bidi="ar-SA"/>
        </w:rPr>
        <w:t xml:space="preserve">6</w:t>
      </w:r>
      <w:r>
        <w:rPr>
          <w:rFonts w:hint="eastAsia" w:ascii="宋体" w:hAnsi="宋体" w:eastAsia="宋体" w:cs="宋体"/>
          <w:bCs/>
          <w:sz w:val="24"/>
          <w:szCs w:val="24"/>
          <w:lang w:val="en-US" w:eastAsia="zh-CN" w:bidi="ar-SA"/>
        </w:rPr>
        <w:t xml:space="preserve">、支持专用肛肠腔内探头。</w:t>
      </w:r>
      <w:r/>
    </w:p>
    <w:p>
      <w:pPr>
        <w:numPr>
          <w:ilvl w:val="0"/>
          <w:numId w:val="0"/>
        </w:numPr>
        <w:ind w:left="0" w:firstLine="0"/>
        <w:jc w:val="both"/>
        <w:spacing w:line="336"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cs="宋体"/>
          <w:bCs/>
          <w:sz w:val="24"/>
          <w:szCs w:val="24"/>
          <w:lang w:val="en-US" w:eastAsia="zh-CN" w:bidi="ar-SA"/>
        </w:rPr>
        <w:t xml:space="preserve">7</w:t>
      </w:r>
      <w:r>
        <w:rPr>
          <w:rFonts w:hint="eastAsia" w:ascii="宋体" w:hAnsi="宋体" w:eastAsia="宋体" w:cs="宋体"/>
          <w:bCs/>
          <w:sz w:val="24"/>
          <w:szCs w:val="24"/>
          <w:lang w:val="en-US" w:eastAsia="zh-CN" w:bidi="ar-SA"/>
        </w:rPr>
        <w:t xml:space="preserve">、主机内置一体化USB接口≥6个。</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w:t>
      </w:r>
      <w:r>
        <w:rPr>
          <w:rFonts w:hint="eastAsia" w:ascii="宋体" w:hAnsi="宋体" w:eastAsia="宋体" w:cs="宋体"/>
          <w:b w:val="0"/>
          <w:bCs w:val="0"/>
          <w:color w:val="auto"/>
          <w:sz w:val="24"/>
          <w:szCs w:val="24"/>
          <w:highlight w:val="none"/>
          <w:lang w:val="en-US" w:eastAsia="zh-CN"/>
        </w:rPr>
        <w:t xml:space="preserve">设</w:t>
      </w:r>
      <w:r>
        <w:rPr>
          <w:rFonts w:hint="eastAsia" w:ascii="宋体" w:hAnsi="宋体" w:eastAsia="宋体" w:cs="宋体"/>
          <w:color w:val="auto"/>
          <w:sz w:val="24"/>
          <w:szCs w:val="24"/>
          <w:highlight w:val="none"/>
          <w:lang w:val="en-US" w:eastAsia="zh-CN"/>
        </w:rPr>
        <w:t xml:space="preserve">备使用年限≥10年。</w:t>
      </w:r>
      <w:r/>
    </w:p>
    <w:p>
      <w:pPr>
        <w:pStyle w:val="836"/>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有关说明</w:t>
      </w:r>
      <w:r>
        <w:rPr>
          <w:rFonts w:hint="eastAsia" w:ascii="宋体" w:hAnsi="宋体" w:eastAsia="宋体" w:cs="宋体"/>
          <w:b/>
          <w:bCs/>
          <w:color w:val="000000"/>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在保质期内，故障发生后，要求供方在接报后2小时内响应，24小时之内到达现场排除故障；须提供故障不能排除时的解决方案。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所供设备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付款方式：采购合同签订生效后，采购人向中标方支付合同金额30%的预付款；待全部货物到达采购人指定地点，经验收合格并装机培训结束，中标方向采购人提供增值税发票后，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12、保修期内，年度定期预防性维护保养次数，不少于_</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_次；保修期满后，人工费为单次故障不高于_2000_元，年度保修协议价不高于设备总价的_5__%，年度定期预防性维护保养次数，不少于 1次。</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13、供应商负责设备的终身维修并应继续提供优质的服务，储备足够的零配件备库，保修期满后，以市场价</w:t>
      </w:r>
      <w:r>
        <w:rPr>
          <w:rFonts w:hint="eastAsia" w:ascii="宋体" w:hAnsi="宋体" w:cs="宋体"/>
          <w:color w:val="000000"/>
          <w:sz w:val="24"/>
          <w:szCs w:val="24"/>
          <w:u w:val="single"/>
          <w:lang w:val="en-US" w:eastAsia="zh-CN"/>
        </w:rPr>
        <w:t xml:space="preserve">8</w:t>
      </w:r>
      <w:r>
        <w:rPr>
          <w:rFonts w:hint="eastAsia" w:ascii="宋体" w:hAnsi="宋体" w:eastAsia="宋体" w:cs="宋体"/>
          <w:color w:val="000000"/>
          <w:sz w:val="24"/>
          <w:szCs w:val="24"/>
          <w:u w:val="single"/>
          <w:lang w:val="en-US" w:eastAsia="zh-CN"/>
        </w:rPr>
        <w:t xml:space="preserve">0% </w:t>
      </w:r>
      <w:r>
        <w:rPr>
          <w:rFonts w:hint="eastAsia" w:ascii="宋体" w:hAnsi="宋体" w:eastAsia="宋体" w:cs="宋体"/>
          <w:color w:val="000000"/>
          <w:sz w:val="24"/>
          <w:szCs w:val="24"/>
          <w:lang w:val="en-US" w:eastAsia="zh-CN"/>
        </w:rPr>
        <w:t xml:space="preserve">的优惠价供应维修零配件，消耗品的供应应由双方另设协议决定。</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ind w:left="0" w:firstLine="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pStyle w:val="836"/>
        <w:rPr>
          <w:rFonts w:hint="eastAsia"/>
        </w:rPr>
      </w:pPr>
      <w:r>
        <w:rPr>
          <w:rFonts w:hint="eastAsia"/>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842"/>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842"/>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842"/>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835"/>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供方需在合同生效之日起或接到院方通知后</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日历日内向需方交付上述设备，并应保证所供设备生产日期为合同签订前90天内生产的全新的、未使用过的，并符合国家有关标准、制造厂标准及协议技术标准要求。逾期将按违约责任执行。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numPr>
          <w:ilvl w:val="0"/>
          <w:numId w:val="0"/>
        </w:numPr>
        <w:ind w:right="59" w:firstLine="456"/>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应提供保修期_______</w:t>
      </w:r>
      <w:r>
        <w:rPr>
          <w:rFonts w:hint="eastAsia" w:asciiTheme="minorEastAsia" w:hAnsiTheme="minorEastAsia" w:eastAsiaTheme="minorEastAsia" w:cstheme="minorEastAsia"/>
          <w:color w:val="auto"/>
          <w:spacing w:val="-3"/>
          <w:sz w:val="24"/>
          <w:szCs w:val="24"/>
          <w:lang w:val="en-US" w:eastAsia="zh-CN"/>
        </w:rPr>
        <w:t xml:space="preserve">年</w:t>
      </w:r>
      <w:r>
        <w:rPr>
          <w:rFonts w:hint="eastAsia" w:asciiTheme="minorEastAsia" w:hAnsiTheme="minorEastAsia" w:eastAsiaTheme="minorEastAsia" w:cstheme="minorEastAsia"/>
          <w:color w:val="auto"/>
          <w:spacing w:val="-3"/>
          <w:sz w:val="24"/>
          <w:szCs w:val="24"/>
        </w:rPr>
        <w:t xml:space="preserve">，保修期的期限应以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次。乙方负责设备的终身维修并应继续提供优质的服务，储备足够的零配件备库，保修期满后，以</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的优惠价供应维修零配件，消耗品的供应应由双方另设协议决定。</w:t>
      </w:r>
      <w:r/>
    </w:p>
    <w:p>
      <w:pPr>
        <w:numPr>
          <w:ilvl w:val="0"/>
          <w:numId w:val="0"/>
        </w:numPr>
        <w:ind w:right="31"/>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七、货款支付步骤和办法：</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rPr>
          <w:rFonts w:hint="eastAsia"/>
        </w:rPr>
      </w:pPr>
      <w:r>
        <w:rPr>
          <w:rFonts w:hint="eastAsia"/>
        </w:rPr>
      </w:r>
      <w:r/>
    </w:p>
    <w:p>
      <w:pPr>
        <w:pStyle w:val="836"/>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pStyle w:val="836"/>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836"/>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836"/>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835"/>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836"/>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3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四、本协议一式二份，甲、乙双方各执一份。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84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47"/>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2"/>
        <w:jc w:val="left"/>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1.投标（响应）报价低于采购项目预算50% 的，即投标（响应）报价&lt;采购项目预算×50% ；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2.投标（响应）报价低于采购项目最高限价45% 的，即投标（响应）报价&lt;采购项目最高限价×45% ；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3.评审委员会认定的供应商报价过低、有可能影响产品质量或者不能诚信履约的其他情形。 </w:t>
      </w:r>
      <w:r/>
    </w:p>
    <w:p>
      <w:pPr>
        <w:ind w:firstLine="480"/>
        <w:jc w:val="left"/>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sz w:val="24"/>
          <w:szCs w:val="24"/>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商务部分（3分）</w:t>
      </w:r>
      <w:r/>
    </w:p>
    <w:p>
      <w:pPr>
        <w:ind w:firstLine="482"/>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rPr>
        <w:t xml:space="preserve">业绩：</w:t>
      </w:r>
      <w:r>
        <w:rPr>
          <w:rFonts w:hint="eastAsia" w:ascii="宋体" w:hAnsi="宋体" w:eastAsia="宋体" w:cs="宋体"/>
          <w:b w:val="0"/>
          <w:bCs w:val="0"/>
          <w:color w:val="000000"/>
          <w:sz w:val="24"/>
          <w:szCs w:val="24"/>
        </w:rPr>
        <w:t xml:space="preserve">供应商自202</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年1月1日起承担过</w:t>
      </w:r>
      <w:r>
        <w:rPr>
          <w:rFonts w:hint="eastAsia" w:ascii="宋体" w:hAnsi="宋体" w:cs="宋体"/>
          <w:b w:val="0"/>
          <w:bCs w:val="0"/>
          <w:color w:val="000000"/>
          <w:sz w:val="24"/>
          <w:szCs w:val="24"/>
          <w:lang w:val="en-US" w:eastAsia="zh-CN"/>
        </w:rPr>
        <w:t xml:space="preserve">所投品牌</w:t>
      </w:r>
      <w:r>
        <w:rPr>
          <w:rFonts w:hint="eastAsia" w:ascii="宋体" w:hAnsi="宋体" w:eastAsia="宋体" w:cs="宋体"/>
          <w:b w:val="0"/>
          <w:bCs w:val="0"/>
          <w:color w:val="000000"/>
          <w:sz w:val="24"/>
          <w:szCs w:val="24"/>
        </w:rPr>
        <w:t xml:space="preserve">同类项目的</w:t>
      </w:r>
      <w:r>
        <w:rPr>
          <w:rFonts w:hint="eastAsia" w:ascii="宋体" w:hAnsi="宋体" w:cs="宋体"/>
          <w:b w:val="0"/>
          <w:bCs w:val="0"/>
          <w:color w:val="000000"/>
          <w:sz w:val="24"/>
          <w:szCs w:val="24"/>
          <w:lang w:val="en-US" w:eastAsia="zh-CN"/>
        </w:rPr>
        <w:t xml:space="preserve">业绩</w:t>
      </w:r>
      <w:r>
        <w:rPr>
          <w:rFonts w:hint="eastAsia" w:ascii="宋体" w:hAnsi="宋体" w:eastAsia="宋体" w:cs="宋体"/>
          <w:b w:val="0"/>
          <w:bCs w:val="0"/>
          <w:color w:val="000000"/>
          <w:sz w:val="24"/>
          <w:szCs w:val="24"/>
        </w:rPr>
        <w:t xml:space="preserve">（以合同签订日期为准），有一个得</w:t>
      </w: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分，最高得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分。投标时需提供相关业绩合同原件扫描件并加盖供应商公章，不提供或提供资料不符合要求均不得分。</w:t>
      </w:r>
      <w:r/>
    </w:p>
    <w:p>
      <w:pPr>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lang w:val="en-US" w:eastAsia="zh-CN" w:bidi="ar-SA"/>
        </w:rPr>
        <w:t xml:space="preserve">三、</w:t>
      </w:r>
      <w:r>
        <w:rPr>
          <w:rFonts w:hint="eastAsia" w:ascii="宋体" w:hAnsi="宋体" w:cs="宋体"/>
          <w:b/>
          <w:bCs/>
          <w:color w:val="auto"/>
          <w:sz w:val="24"/>
          <w:szCs w:val="24"/>
          <w:highlight w:val="none"/>
          <w:lang w:val="en-US" w:eastAsia="zh-CN"/>
        </w:rPr>
        <w:t xml:space="preserve">技术部分（59分）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835"/>
        <w:tblW w:w="4876" w:type="pct"/>
        <w:jc w:val="center"/>
        <w:tblLayout w:type="fixed"/>
        <w:tblCellMar>
          <w:left w:w="108" w:type="dxa"/>
          <w:top w:w="0" w:type="dxa"/>
          <w:right w:w="108" w:type="dxa"/>
          <w:bottom w:w="0" w:type="dxa"/>
        </w:tblCellMar>
        <w:tblLook w:val="04A0" w:firstRow="1" w:lastRow="0" w:firstColumn="1" w:lastColumn="0" w:noHBand="0" w:noVBand="1"/>
      </w:tblPr>
      <w:tblGrid>
        <w:gridCol w:w="944"/>
        <w:gridCol w:w="2712"/>
        <w:gridCol w:w="3792"/>
        <w:gridCol w:w="2164"/>
      </w:tblGrid>
      <w:tr>
        <w:trPr>
          <w:jc w:val="center"/>
          <w:trHeight w:val="90"/>
        </w:trPr>
        <w:tc>
          <w:tcPr>
            <w:tcBorders>
              <w:top w:val="single" w:color="000000" w:sz="4" w:space="0"/>
              <w:left w:val="single" w:color="000000" w:sz="4" w:space="0"/>
              <w:bottom w:val="single" w:color="000000" w:sz="4" w:space="0"/>
              <w:right w:val="single" w:color="000000" w:sz="4" w:space="0"/>
            </w:tcBorders>
            <w:tcW w:w="817" w:type="dxa"/>
            <w:textDirection w:val="lrTb"/>
            <w:noWrap w:val="false"/>
          </w:tcPr>
          <w:p>
            <w:pPr>
              <w:jc w:val="center"/>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345" w:type="dxa"/>
            <w:textDirection w:val="lrTb"/>
            <w:noWrap w:val="false"/>
          </w:tcPr>
          <w:p>
            <w:pPr>
              <w:jc w:val="center"/>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采购需求性能要求</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jc w:val="center"/>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性能加分要求</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spacing w:line="360" w:lineRule="auto"/>
              <w:rPr>
                <w:rFonts w:hint="eastAsia" w:ascii="宋体" w:hAnsi="宋体" w:eastAsia="宋体" w:cs="宋体"/>
                <w:b/>
                <w:sz w:val="22"/>
                <w:szCs w:val="22"/>
              </w:rPr>
            </w:pPr>
            <w:r>
              <w:rPr>
                <w:rFonts w:hint="eastAsia" w:ascii="宋体" w:hAnsi="宋体" w:eastAsia="宋体" w:cs="宋体"/>
                <w:b/>
                <w:sz w:val="22"/>
                <w:szCs w:val="22"/>
              </w:rPr>
              <w:t xml:space="preserve">得分标准</w:t>
            </w:r>
            <w:r/>
          </w:p>
        </w:tc>
      </w:tr>
      <w:tr>
        <w:trPr>
          <w:jc w:val="center"/>
          <w:trHeight w:val="1516"/>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eastAsia="宋体" w:cs="宋体"/>
                <w:b/>
                <w:sz w:val="21"/>
                <w:szCs w:val="21"/>
              </w:rPr>
            </w:pPr>
            <w:r>
              <w:rPr>
                <w:rFonts w:hint="eastAsia" w:ascii="宋体" w:hAnsi="宋体" w:eastAsia="宋体" w:cs="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345" w:type="dxa"/>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数字化8段TGC分布于触摸屏，且可随不同预设保存</w:t>
            </w:r>
            <w:r/>
          </w:p>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279" w:type="dxa"/>
            <w:textDirection w:val="lrTb"/>
            <w:noWrap w:val="false"/>
          </w:tcPr>
          <w:p>
            <w:pPr>
              <w:ind w:left="0" w:firstLine="0"/>
              <w:jc w:val="both"/>
              <w:widowControl/>
              <w:rPr>
                <w:rFonts w:hint="eastAsia" w:ascii="宋体" w:hAnsi="宋体" w:eastAsia="宋体" w:cs="宋体"/>
                <w:sz w:val="21"/>
                <w:szCs w:val="21"/>
                <w:lang w:val="en-US" w:eastAsia="zh-CN" w:bidi="ar"/>
              </w:rPr>
            </w:pPr>
            <w:r>
              <w:rPr>
                <w:rFonts w:hint="eastAsia" w:ascii="宋体" w:hAnsi="宋体" w:cs="宋体"/>
                <w:sz w:val="21"/>
                <w:szCs w:val="21"/>
                <w:lang w:val="en-US" w:eastAsia="zh-CN" w:bidi="ar"/>
              </w:rPr>
              <w:t xml:space="preserve">数</w:t>
            </w:r>
            <w:r>
              <w:rPr>
                <w:rFonts w:hint="eastAsia" w:ascii="宋体" w:hAnsi="宋体" w:eastAsia="宋体" w:cs="宋体"/>
                <w:sz w:val="21"/>
                <w:szCs w:val="21"/>
                <w:lang w:val="en-US" w:eastAsia="zh-CN" w:bidi="ar"/>
              </w:rPr>
              <w:t xml:space="preserve">字化TGC</w:t>
            </w:r>
            <w:r>
              <w:rPr>
                <w:rFonts w:hint="eastAsia" w:ascii="宋体" w:hAnsi="宋体" w:cs="宋体"/>
                <w:sz w:val="21"/>
                <w:szCs w:val="21"/>
                <w:lang w:val="en-US" w:eastAsia="zh-CN" w:bidi="ar"/>
              </w:rPr>
              <w:t xml:space="preserve"> </w:t>
            </w:r>
            <w:r>
              <w:rPr>
                <w:rFonts w:hint="eastAsia" w:ascii="宋体" w:hAnsi="宋体" w:eastAsia="宋体" w:cs="宋体"/>
                <w:sz w:val="21"/>
                <w:szCs w:val="21"/>
                <w:lang w:val="en-US" w:eastAsia="zh-CN" w:bidi="ar"/>
              </w:rPr>
              <w:t xml:space="preserve">9段分布于触摸屏，且可随不同预设保存，得1分；</w:t>
            </w:r>
            <w:r/>
          </w:p>
          <w:p>
            <w:pPr>
              <w:ind w:left="0" w:firstLine="0"/>
              <w:jc w:val="both"/>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数字化TGC≥10段分布于触摸屏，且可随不同预设保存，得3分。</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1516"/>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345" w:type="dxa"/>
            <w:vAlign w:val="top"/>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主机成像通道数：≥38,000,000。</w:t>
            </w:r>
            <w:r/>
          </w:p>
        </w:tc>
        <w:tc>
          <w:tcPr>
            <w:tcBorders>
              <w:top w:val="single" w:color="000000" w:sz="4" w:space="0"/>
              <w:left w:val="single" w:color="000000" w:sz="4" w:space="0"/>
              <w:bottom w:val="single" w:color="000000" w:sz="4" w:space="0"/>
              <w:right w:val="single" w:color="000000" w:sz="4" w:space="0"/>
            </w:tcBorders>
            <w:tcW w:w="3279" w:type="dxa"/>
            <w:vAlign w:val="top"/>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主机成像通道数：≥40,000,000，得1分。</w:t>
            </w:r>
            <w:r/>
          </w:p>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主机成像通道数：≥42,000,000，得3分。</w:t>
            </w:r>
            <w:r/>
          </w:p>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sz w:val="21"/>
                <w:szCs w:val="21"/>
                <w:lang w:bidi="ar"/>
              </w:rPr>
            </w:pPr>
            <w:r>
              <w:rPr>
                <w:rFonts w:hint="eastAsia" w:ascii="宋体" w:hAnsi="宋体" w:eastAsia="宋体" w:cs="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345" w:type="dxa"/>
            <w:vAlign w:val="top"/>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系统最大扫查深度：≥35cm。</w:t>
            </w:r>
            <w:r/>
          </w:p>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top"/>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系统最大扫查深度：≥40cm，得1分；</w:t>
            </w:r>
            <w:r/>
          </w:p>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系统最大扫查深度：≥45cm，得3分；</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345" w:type="dxa"/>
            <w:vAlign w:val="top"/>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具备超微血流成像技术，可测量低速细小血流。</w:t>
            </w:r>
            <w:r/>
          </w:p>
        </w:tc>
        <w:tc>
          <w:tcPr>
            <w:tcBorders>
              <w:top w:val="single" w:color="000000" w:sz="4" w:space="0"/>
              <w:left w:val="single" w:color="000000" w:sz="4" w:space="0"/>
              <w:bottom w:val="single" w:color="000000" w:sz="4" w:space="0"/>
              <w:right w:val="single" w:color="000000" w:sz="4" w:space="0"/>
            </w:tcBorders>
            <w:tcW w:w="3279" w:type="dxa"/>
            <w:vAlign w:val="top"/>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超微血流成像技术可通过彩色部分的像素数与感兴趣区像素的比值得到VI（血管指数），可定量显示VI，得3分。</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345" w:type="dxa"/>
            <w:vAlign w:val="top"/>
            <w:textDirection w:val="lrTb"/>
            <w:noWrap w:val="false"/>
          </w:tcPr>
          <w:p>
            <w:pPr>
              <w:pStyle w:val="855"/>
              <w:ind w:firstLine="0"/>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具备在机TIC曲线分析，支持≥8个参数分析</w:t>
            </w:r>
            <w:r/>
          </w:p>
          <w:p>
            <w:pPr>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top"/>
            <w:textDirection w:val="lrTb"/>
            <w:noWrap w:val="false"/>
          </w:tcPr>
          <w:p>
            <w:pPr>
              <w:pStyle w:val="855"/>
              <w:ind w:left="0" w:firstLine="0"/>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具备在机TIC曲线分析，支持≥10个参数分析，得1分；</w:t>
            </w:r>
            <w:r/>
          </w:p>
          <w:p>
            <w:pPr>
              <w:pStyle w:val="855"/>
              <w:ind w:left="0" w:firstLine="0"/>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具备在机TIC曲线分析，支持≥12个参数分析，得3分。</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345" w:type="dxa"/>
            <w:vAlign w:val="top"/>
            <w:textDirection w:val="lrTb"/>
            <w:noWrap w:val="false"/>
          </w:tcPr>
          <w:p>
            <w:pPr>
              <w:pStyle w:val="855"/>
              <w:ind w:left="0" w:firstLine="0"/>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具备脂肪肝含量定量测量技术，可输出组织衰减系数、组织散射系数。</w:t>
            </w:r>
            <w:r/>
          </w:p>
        </w:tc>
        <w:tc>
          <w:tcPr>
            <w:tcBorders>
              <w:top w:val="single" w:color="000000" w:sz="4" w:space="0"/>
              <w:left w:val="single" w:color="000000" w:sz="4" w:space="0"/>
              <w:bottom w:val="single" w:color="000000" w:sz="4" w:space="0"/>
              <w:right w:val="single" w:color="000000" w:sz="4" w:space="0"/>
            </w:tcBorders>
            <w:tcW w:w="3279" w:type="dxa"/>
            <w:vAlign w:val="top"/>
            <w:textDirection w:val="lrTb"/>
            <w:noWrap w:val="false"/>
          </w:tcPr>
          <w:p>
            <w:pPr>
              <w:pStyle w:val="855"/>
              <w:ind w:left="0" w:firstLine="0"/>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同时脂肪肝含量定量测量技术可输出脂肪在肝脏中的含量分数的得3分。</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345" w:type="dxa"/>
            <w:textDirection w:val="lrTb"/>
            <w:noWrap w:val="false"/>
          </w:tcPr>
          <w:p>
            <w:pPr>
              <w:ind w:firstLine="0"/>
              <w:jc w:val="both"/>
              <w:widowControl/>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取样宽度及位置范围：多级可调，最小取样宽度0.5mm，最大20mm</w:t>
            </w:r>
            <w:r/>
          </w:p>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279" w:type="dxa"/>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取样宽度及位置范围：多级可调，最小取样宽度0.5mm，最大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mm，得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rPr>
              <w:t xml:space="preserve">取样宽度及位置范围：多级可调，最小取样宽度0.5mm，最大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mm，得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34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支持单晶体凸阵探头</w:t>
            </w:r>
            <w:r/>
          </w:p>
        </w:tc>
        <w:tc>
          <w:tcPr>
            <w:tcBorders>
              <w:top w:val="single" w:color="000000" w:sz="4" w:space="0"/>
              <w:left w:val="single" w:color="000000" w:sz="4" w:space="0"/>
              <w:bottom w:val="single" w:color="000000" w:sz="4" w:space="0"/>
              <w:right w:val="single" w:color="000000" w:sz="4" w:space="0"/>
            </w:tcBorders>
            <w:tcW w:w="3279" w:type="dxa"/>
            <w:textDirection w:val="lrTb"/>
            <w:noWrap w:val="false"/>
          </w:tcPr>
          <w:p>
            <w:pPr>
              <w:ind w:firstLine="0"/>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支持单晶体凸阵探头：探头频带≥1-7MHz，支持超声造影及定量分析、剪切波弹性成像、肝脏衰减成像及散射成像技术、肝肾比等功能，得3分。</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345"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支持单晶体线阵探头</w:t>
            </w:r>
            <w:r/>
          </w:p>
        </w:tc>
        <w:tc>
          <w:tcPr>
            <w:tcBorders>
              <w:top w:val="single" w:color="000000" w:sz="4" w:space="0"/>
              <w:left w:val="single" w:color="000000" w:sz="4" w:space="0"/>
              <w:bottom w:val="single" w:color="000000" w:sz="4" w:space="0"/>
              <w:right w:val="single" w:color="000000" w:sz="4" w:space="0"/>
            </w:tcBorders>
            <w:tcW w:w="3279" w:type="dxa"/>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支持单晶体线阵探头：≥2-14MHz，支持超声造影及定量分析，弹性成像，剪切波等功能，得3分。</w:t>
            </w:r>
            <w:r/>
          </w:p>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2345" w:type="dxa"/>
            <w:textDirection w:val="lrTb"/>
            <w:noWrap w:val="false"/>
          </w:tcPr>
          <w:p>
            <w:pPr>
              <w:rPr>
                <w:rFonts w:hint="eastAsia" w:ascii="宋体" w:hAnsi="宋体" w:eastAsia="宋体" w:cs="宋体"/>
                <w:sz w:val="21"/>
                <w:szCs w:val="21"/>
              </w:rPr>
            </w:pPr>
            <w:r>
              <w:rPr>
                <w:rFonts w:hint="eastAsia" w:ascii="宋体" w:hAnsi="宋体" w:eastAsia="宋体" w:cs="宋体"/>
                <w:bCs/>
                <w:sz w:val="21"/>
                <w:szCs w:val="21"/>
              </w:rPr>
              <w:t xml:space="preserve">支持专用肛肠腔内探头</w:t>
            </w:r>
            <w:r/>
          </w:p>
        </w:tc>
        <w:tc>
          <w:tcPr>
            <w:tcBorders>
              <w:top w:val="single" w:color="000000" w:sz="4" w:space="0"/>
              <w:left w:val="single" w:color="000000" w:sz="4" w:space="0"/>
              <w:bottom w:val="single" w:color="000000" w:sz="4" w:space="0"/>
              <w:right w:val="single" w:color="000000" w:sz="4" w:space="0"/>
            </w:tcBorders>
            <w:tcW w:w="3279" w:type="dxa"/>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支持专用肛肠腔内探头，探头前端最大横截面积≤2</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eastAsia="zh-CN"/>
              </w:rPr>
              <w:t xml:space="preserve">mm²，得3分。</w:t>
            </w:r>
            <w:r/>
          </w:p>
        </w:tc>
        <w:tc>
          <w:tcPr>
            <w:tcBorders>
              <w:top w:val="single" w:color="000000" w:sz="4" w:space="0"/>
              <w:left w:val="single" w:color="000000" w:sz="4" w:space="0"/>
              <w:bottom w:val="single" w:color="000000" w:sz="4" w:space="0"/>
              <w:right w:val="single" w:color="000000" w:sz="4" w:space="0"/>
            </w:tcBorders>
            <w:tcW w:w="1871" w:type="dxa"/>
            <w:textDirection w:val="lrTb"/>
            <w:noWrap w:val="false"/>
          </w:tcPr>
          <w:p>
            <w:pPr>
              <w:contextualSpacing/>
              <w:jc w:val="left"/>
              <w:rPr>
                <w:rFonts w:hint="eastAsia" w:ascii="宋体" w:hAnsi="宋体" w:eastAsia="宋体" w:cs="宋体"/>
                <w:sz w:val="21"/>
                <w:szCs w:val="21"/>
                <w:lang w:bidi="ar"/>
              </w:rPr>
            </w:pPr>
            <w:r>
              <w:rPr>
                <w:rFonts w:hint="eastAsia" w:ascii="宋体" w:hAnsi="宋体" w:eastAsia="宋体" w:cs="宋体"/>
                <w:sz w:val="21"/>
                <w:szCs w:val="21"/>
                <w:lang w:bidi="ar"/>
              </w:rPr>
              <w:t xml:space="preserve">满足性能加分要求对应标准的得相应分值，不符合性能加分要求的不得分。</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3.2服务方案（29分）</w:t>
      </w:r>
      <w:r/>
    </w:p>
    <w:p>
      <w:pPr>
        <w:ind w:firstLine="482"/>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售后服务方案（</w:t>
      </w:r>
      <w:r>
        <w:rPr>
          <w:rFonts w:hint="eastAsia" w:ascii="宋体" w:hAnsi="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（2）实施方案（</w:t>
      </w:r>
      <w:r>
        <w:rPr>
          <w:rFonts w:hint="eastAsia" w:ascii="宋体" w:hAnsi="宋体" w:cs="Times New Roman"/>
          <w:b w:val="0"/>
          <w:bCs w:val="0"/>
          <w:sz w:val="24"/>
          <w:szCs w:val="24"/>
          <w:highlight w:val="none"/>
          <w:lang w:val="en-US" w:eastAsia="zh-CN"/>
        </w:rPr>
        <w:t xml:space="preserve">8</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8</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培训方案</w:t>
      </w:r>
      <w:r>
        <w:rPr>
          <w:rFonts w:hint="eastAsia" w:ascii="宋体" w:hAnsi="宋体" w:eastAsia="宋体" w:cs="Times New Roman"/>
          <w:b w:val="0"/>
          <w:bCs w:val="0"/>
          <w:sz w:val="24"/>
          <w:szCs w:val="24"/>
          <w:highlight w:val="none"/>
          <w:lang w:eastAsia="zh-CN"/>
        </w:rPr>
        <w:t xml:space="preserve">（</w:t>
      </w:r>
      <w:r>
        <w:rPr>
          <w:rFonts w:hint="eastAsia" w:ascii="宋体" w:hAnsi="宋体" w:cs="Times New Roman"/>
          <w:b w:val="0"/>
          <w:bCs w:val="0"/>
          <w:sz w:val="24"/>
          <w:szCs w:val="24"/>
          <w:highlight w:val="none"/>
          <w:lang w:val="en-US" w:eastAsia="zh-CN"/>
        </w:rPr>
        <w:t xml:space="preserve">9</w:t>
      </w:r>
      <w:r>
        <w:rPr>
          <w:rFonts w:hint="eastAsia" w:ascii="宋体" w:hAnsi="宋体" w:eastAsia="宋体" w:cs="Times New Roman"/>
          <w:b w:val="0"/>
          <w:bCs w:val="0"/>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9</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0"/>
        </w:numPr>
        <w:keepLines w:val="0"/>
        <w:keepNext w:val="0"/>
        <w:pageBreakBefore w:val="0"/>
        <w:spacing w:line="360" w:lineRule="auto"/>
        <w:widowControl w:val="off"/>
        <w:rPr>
          <w:rFonts w:hint="eastAsia" w:ascii="宋体" w:hAnsi="宋体" w:cs="宋体"/>
          <w:b/>
          <w:bCs/>
          <w:color w:val="000000"/>
          <w:sz w:val="24"/>
          <w:szCs w:val="24"/>
          <w:lang w:val="en-US" w:eastAsia="zh-CN"/>
        </w:rPr>
        <w:outlineLvl w:val="0"/>
      </w:pPr>
      <w:r>
        <w:rPr>
          <w:rFonts w:hint="eastAsia" w:ascii="宋体" w:hAnsi="宋体" w:eastAsia="宋体" w:cs="宋体"/>
          <w:b/>
          <w:bCs/>
          <w:color w:val="000000"/>
          <w:sz w:val="24"/>
          <w:szCs w:val="24"/>
          <w:lang w:val="en-US" w:eastAsia="zh-CN" w:bidi="ar-SA"/>
        </w:rPr>
        <w:t xml:space="preserve">四、</w:t>
      </w:r>
      <w:r>
        <w:rPr>
          <w:rFonts w:hint="eastAsia" w:ascii="宋体" w:hAnsi="宋体" w:cs="宋体"/>
          <w:b/>
          <w:bCs/>
          <w:color w:val="000000"/>
          <w:sz w:val="24"/>
          <w:szCs w:val="24"/>
          <w:lang w:val="en-US" w:eastAsia="zh-CN"/>
        </w:rPr>
        <w:t xml:space="preserve">政策性因素</w:t>
      </w:r>
      <w:r>
        <w:rPr>
          <w:rFonts w:hint="eastAsia" w:ascii="宋体" w:hAnsi="宋体" w:cs="宋体"/>
          <w:b/>
          <w:bCs/>
          <w:color w:val="auto"/>
          <w:sz w:val="24"/>
          <w:szCs w:val="24"/>
          <w:highlight w:val="none"/>
          <w:lang w:val="en-US" w:eastAsia="zh-CN"/>
        </w:rPr>
        <w:t xml:space="preserve">（3分）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宋体"/>
          <w:b w:val="0"/>
          <w:bCs w:val="0"/>
          <w:color w:val="000000"/>
          <w:sz w:val="24"/>
          <w:szCs w:val="24"/>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84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8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8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8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4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49"/>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49"/>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84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836"/>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836"/>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842"/>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855"/>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ind w:left="0" w:firstLine="0"/>
        <w:spacing w:line="360" w:lineRule="auto"/>
        <w:rPr>
          <w:rFonts w:hint="eastAsia" w:ascii="宋体" w:hAnsi="宋体" w:eastAsia="宋体" w:cs="宋体"/>
          <w:b/>
          <w:bCs w:val="0"/>
          <w:sz w:val="24"/>
          <w:szCs w:val="24"/>
        </w:rPr>
        <w:outlineLvl w:val="0"/>
      </w:pP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8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842"/>
        <w:ind w:left="1260"/>
      </w:pPr>
      <w:r/>
      <w:r/>
    </w:p>
    <w:p>
      <w:r/>
      <w:r/>
    </w:p>
    <w:p>
      <w:pPr>
        <w:pStyle w:val="842"/>
        <w:ind w:left="1260"/>
      </w:pPr>
      <w:r/>
      <w:r/>
    </w:p>
    <w:p>
      <w:r/>
      <w:r/>
    </w:p>
    <w:p>
      <w:pPr>
        <w:pStyle w:val="842"/>
        <w:ind w:left="1260"/>
      </w:pPr>
      <w:r/>
      <w:r/>
    </w:p>
    <w:p>
      <w:r/>
      <w:r/>
    </w:p>
    <w:p>
      <w:pPr>
        <w:pStyle w:val="842"/>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hint="eastAsia" w:eastAsia="宋体"/>
          <w:bCs/>
          <w:sz w:val="24"/>
          <w:szCs w:val="24"/>
          <w:lang w:eastAsia="zh-CN"/>
        </w:rPr>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eastAsia="黑体"/>
          <w:bCs/>
          <w:sz w:val="24"/>
          <w:szCs w:val="24"/>
        </w:rPr>
        <w:br w:type="page" w:clear="all"/>
      </w: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836"/>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835"/>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eastAsia="宋体"/>
                <w:sz w:val="24"/>
                <w:szCs w:val="24"/>
                <w:lang w:val="en-US" w:eastAsia="zh-CN"/>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855"/>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835"/>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857"/>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(三）其他说明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836"/>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835"/>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833"/>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83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7"/>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7"/>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7"/>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837"/>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3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3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pPr>
      <w:r>
        <w:rPr>
          <w:sz w:val="36"/>
        </w:rPr>
        <w:br w:type="page" w:clear="all"/>
      </w:r>
      <w:bookmarkStart w:id="10" w:name="OLE_LINK14"/>
      <w:r/>
      <w:bookmarkStart w:id="11" w:name="OLE_LINK13"/>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r/>
      <w:bookmarkEnd w:id="11"/>
      <w:r/>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r/>
    </w:p>
    <w:p>
      <w:pPr>
        <w:pStyle w:val="85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55"/>
      </w:pPr>
      <w:r/>
      <w:r/>
    </w:p>
    <w:p>
      <w:pPr>
        <w:pStyle w:val="855"/>
      </w:pPr>
      <w:r/>
      <w:r/>
    </w:p>
    <w:p>
      <w:pPr>
        <w:pStyle w:val="855"/>
      </w:pPr>
      <w:r/>
      <w:r/>
    </w:p>
    <w:p>
      <w:pPr>
        <w:pStyle w:val="855"/>
      </w:pPr>
      <w:r/>
      <w:r/>
    </w:p>
    <w:p>
      <w:pPr>
        <w:pStyle w:val="855"/>
      </w:pPr>
      <w:r/>
      <w:r/>
    </w:p>
    <w:p>
      <w:pPr>
        <w:pStyle w:val="855"/>
      </w:pPr>
      <w:r/>
      <w:r/>
    </w:p>
    <w:p>
      <w:pPr>
        <w:pStyle w:val="855"/>
      </w:pPr>
      <w:r/>
      <w:r/>
    </w:p>
    <w:p>
      <w:pPr>
        <w:pStyle w:val="855"/>
      </w:pPr>
      <w:r/>
      <w:r/>
    </w:p>
    <w:p>
      <w:pPr>
        <w:pStyle w:val="855"/>
      </w:pPr>
      <w:r/>
      <w:r/>
    </w:p>
    <w:p>
      <w:pPr>
        <w:pStyle w:val="855"/>
      </w:pPr>
      <w:r/>
      <w:r/>
    </w:p>
    <w:p>
      <w:pPr>
        <w:pStyle w:val="855"/>
      </w:pPr>
      <w:r/>
      <w:r/>
    </w:p>
    <w:p>
      <w:pPr>
        <w:pStyle w:val="855"/>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36"/>
      </w:pPr>
      <w:r/>
      <w:r/>
    </w:p>
    <w:p>
      <w:pPr>
        <w:pStyle w:val="855"/>
        <w:ind w:firstLine="0"/>
        <w:rPr>
          <w:rFonts w:hint="eastAsia"/>
        </w:rPr>
      </w:pPr>
      <w:r>
        <w:rPr>
          <w:rFonts w:hint="eastAsia"/>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Courier New">
    <w:panose1 w:val="02070309020205020404"/>
  </w:font>
  <w:font w:name="Calibri">
    <w:panose1 w:val="020F0502020204030204"/>
  </w:font>
  <w:font w:name="文鼎小标宋简">
    <w:panose1 w:val="020B05030202020202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lvlOverride w:ilvl="0">
      <w:startOverride w:val="1"/>
    </w:lvlOverride>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832"/>
    <w:next w:val="832"/>
    <w:link w:val="663"/>
    <w:uiPriority w:val="9"/>
    <w:qFormat/>
    <w:pPr>
      <w:keepLines/>
      <w:keepNext/>
      <w:spacing w:before="480" w:after="200"/>
      <w:outlineLvl w:val="0"/>
    </w:pPr>
    <w:rPr>
      <w:rFonts w:ascii="Arial" w:hAnsi="Arial" w:eastAsia="Arial" w:cs="Arial"/>
      <w:sz w:val="40"/>
      <w:szCs w:val="40"/>
    </w:rPr>
  </w:style>
  <w:style w:type="character" w:styleId="663">
    <w:name w:val="Heading 1 Char"/>
    <w:basedOn w:val="834"/>
    <w:link w:val="662"/>
    <w:uiPriority w:val="9"/>
    <w:rPr>
      <w:rFonts w:ascii="Arial" w:hAnsi="Arial" w:eastAsia="Arial" w:cs="Arial"/>
      <w:sz w:val="40"/>
      <w:szCs w:val="40"/>
    </w:rPr>
  </w:style>
  <w:style w:type="paragraph" w:styleId="664">
    <w:name w:val="Heading 2"/>
    <w:basedOn w:val="832"/>
    <w:next w:val="832"/>
    <w:link w:val="665"/>
    <w:uiPriority w:val="9"/>
    <w:unhideWhenUsed/>
    <w:qFormat/>
    <w:pPr>
      <w:keepLines/>
      <w:keepNext/>
      <w:spacing w:before="360" w:after="200"/>
      <w:outlineLvl w:val="1"/>
    </w:pPr>
    <w:rPr>
      <w:rFonts w:ascii="Arial" w:hAnsi="Arial" w:eastAsia="Arial" w:cs="Arial"/>
      <w:sz w:val="34"/>
    </w:rPr>
  </w:style>
  <w:style w:type="character" w:styleId="665">
    <w:name w:val="Heading 2 Char"/>
    <w:basedOn w:val="834"/>
    <w:link w:val="664"/>
    <w:uiPriority w:val="9"/>
    <w:rPr>
      <w:rFonts w:ascii="Arial" w:hAnsi="Arial" w:eastAsia="Arial" w:cs="Arial"/>
      <w:sz w:val="34"/>
    </w:rPr>
  </w:style>
  <w:style w:type="character" w:styleId="666">
    <w:name w:val="Heading 3 Char"/>
    <w:basedOn w:val="834"/>
    <w:link w:val="833"/>
    <w:uiPriority w:val="9"/>
    <w:rPr>
      <w:rFonts w:ascii="Arial" w:hAnsi="Arial" w:eastAsia="Arial" w:cs="Arial"/>
      <w:sz w:val="30"/>
      <w:szCs w:val="30"/>
    </w:rPr>
  </w:style>
  <w:style w:type="paragraph" w:styleId="667">
    <w:name w:val="Heading 4"/>
    <w:basedOn w:val="832"/>
    <w:next w:val="832"/>
    <w:link w:val="668"/>
    <w:uiPriority w:val="9"/>
    <w:unhideWhenUsed/>
    <w:qFormat/>
    <w:pPr>
      <w:keepLines/>
      <w:keepNext/>
      <w:spacing w:before="320" w:after="200"/>
      <w:outlineLvl w:val="3"/>
    </w:pPr>
    <w:rPr>
      <w:rFonts w:ascii="Arial" w:hAnsi="Arial" w:eastAsia="Arial" w:cs="Arial"/>
      <w:b/>
      <w:bCs/>
      <w:sz w:val="26"/>
      <w:szCs w:val="26"/>
    </w:rPr>
  </w:style>
  <w:style w:type="character" w:styleId="668">
    <w:name w:val="Heading 4 Char"/>
    <w:basedOn w:val="834"/>
    <w:link w:val="667"/>
    <w:uiPriority w:val="9"/>
    <w:rPr>
      <w:rFonts w:ascii="Arial" w:hAnsi="Arial" w:eastAsia="Arial" w:cs="Arial"/>
      <w:b/>
      <w:bCs/>
      <w:sz w:val="26"/>
      <w:szCs w:val="26"/>
    </w:rPr>
  </w:style>
  <w:style w:type="paragraph" w:styleId="669">
    <w:name w:val="Heading 5"/>
    <w:basedOn w:val="832"/>
    <w:next w:val="832"/>
    <w:link w:val="670"/>
    <w:uiPriority w:val="9"/>
    <w:unhideWhenUsed/>
    <w:qFormat/>
    <w:pPr>
      <w:keepLines/>
      <w:keepNext/>
      <w:spacing w:before="320" w:after="200"/>
      <w:outlineLvl w:val="4"/>
    </w:pPr>
    <w:rPr>
      <w:rFonts w:ascii="Arial" w:hAnsi="Arial" w:eastAsia="Arial" w:cs="Arial"/>
      <w:b/>
      <w:bCs/>
      <w:sz w:val="24"/>
      <w:szCs w:val="24"/>
    </w:rPr>
  </w:style>
  <w:style w:type="character" w:styleId="670">
    <w:name w:val="Heading 5 Char"/>
    <w:basedOn w:val="834"/>
    <w:link w:val="669"/>
    <w:uiPriority w:val="9"/>
    <w:rPr>
      <w:rFonts w:ascii="Arial" w:hAnsi="Arial" w:eastAsia="Arial" w:cs="Arial"/>
      <w:b/>
      <w:bCs/>
      <w:sz w:val="24"/>
      <w:szCs w:val="24"/>
    </w:rPr>
  </w:style>
  <w:style w:type="paragraph" w:styleId="671">
    <w:name w:val="Heading 6"/>
    <w:basedOn w:val="832"/>
    <w:next w:val="832"/>
    <w:link w:val="672"/>
    <w:uiPriority w:val="9"/>
    <w:unhideWhenUsed/>
    <w:qFormat/>
    <w:pPr>
      <w:keepLines/>
      <w:keepNext/>
      <w:spacing w:before="320" w:after="200"/>
      <w:outlineLvl w:val="5"/>
    </w:pPr>
    <w:rPr>
      <w:rFonts w:ascii="Arial" w:hAnsi="Arial" w:eastAsia="Arial" w:cs="Arial"/>
      <w:b/>
      <w:bCs/>
      <w:sz w:val="22"/>
      <w:szCs w:val="22"/>
    </w:rPr>
  </w:style>
  <w:style w:type="character" w:styleId="672">
    <w:name w:val="Heading 6 Char"/>
    <w:basedOn w:val="834"/>
    <w:link w:val="671"/>
    <w:uiPriority w:val="9"/>
    <w:rPr>
      <w:rFonts w:ascii="Arial" w:hAnsi="Arial" w:eastAsia="Arial" w:cs="Arial"/>
      <w:b/>
      <w:bCs/>
      <w:sz w:val="22"/>
      <w:szCs w:val="22"/>
    </w:rPr>
  </w:style>
  <w:style w:type="paragraph" w:styleId="673">
    <w:name w:val="Heading 7"/>
    <w:basedOn w:val="832"/>
    <w:next w:val="832"/>
    <w:link w:val="674"/>
    <w:uiPriority w:val="9"/>
    <w:unhideWhenUsed/>
    <w:qFormat/>
    <w:pPr>
      <w:keepLines/>
      <w:keepNext/>
      <w:spacing w:before="320" w:after="200"/>
      <w:outlineLvl w:val="6"/>
    </w:pPr>
    <w:rPr>
      <w:rFonts w:ascii="Arial" w:hAnsi="Arial" w:eastAsia="Arial" w:cs="Arial"/>
      <w:b/>
      <w:bCs/>
      <w:i/>
      <w:iCs/>
      <w:sz w:val="22"/>
      <w:szCs w:val="22"/>
    </w:rPr>
  </w:style>
  <w:style w:type="character" w:styleId="674">
    <w:name w:val="Heading 7 Char"/>
    <w:basedOn w:val="834"/>
    <w:link w:val="673"/>
    <w:uiPriority w:val="9"/>
    <w:rPr>
      <w:rFonts w:ascii="Arial" w:hAnsi="Arial" w:eastAsia="Arial" w:cs="Arial"/>
      <w:b/>
      <w:bCs/>
      <w:i/>
      <w:iCs/>
      <w:sz w:val="22"/>
      <w:szCs w:val="22"/>
    </w:rPr>
  </w:style>
  <w:style w:type="paragraph" w:styleId="675">
    <w:name w:val="Heading 8"/>
    <w:basedOn w:val="832"/>
    <w:next w:val="832"/>
    <w:link w:val="676"/>
    <w:uiPriority w:val="9"/>
    <w:unhideWhenUsed/>
    <w:qFormat/>
    <w:pPr>
      <w:keepLines/>
      <w:keepNext/>
      <w:spacing w:before="320" w:after="200"/>
      <w:outlineLvl w:val="7"/>
    </w:pPr>
    <w:rPr>
      <w:rFonts w:ascii="Arial" w:hAnsi="Arial" w:eastAsia="Arial" w:cs="Arial"/>
      <w:i/>
      <w:iCs/>
      <w:sz w:val="22"/>
      <w:szCs w:val="22"/>
    </w:rPr>
  </w:style>
  <w:style w:type="character" w:styleId="676">
    <w:name w:val="Heading 8 Char"/>
    <w:basedOn w:val="834"/>
    <w:link w:val="675"/>
    <w:uiPriority w:val="9"/>
    <w:rPr>
      <w:rFonts w:ascii="Arial" w:hAnsi="Arial" w:eastAsia="Arial" w:cs="Arial"/>
      <w:i/>
      <w:iCs/>
      <w:sz w:val="22"/>
      <w:szCs w:val="22"/>
    </w:rPr>
  </w:style>
  <w:style w:type="paragraph" w:styleId="677">
    <w:name w:val="Heading 9"/>
    <w:basedOn w:val="832"/>
    <w:next w:val="832"/>
    <w:link w:val="678"/>
    <w:uiPriority w:val="9"/>
    <w:unhideWhenUsed/>
    <w:qFormat/>
    <w:pPr>
      <w:keepLines/>
      <w:keepNext/>
      <w:spacing w:before="320" w:after="200"/>
      <w:outlineLvl w:val="8"/>
    </w:pPr>
    <w:rPr>
      <w:rFonts w:ascii="Arial" w:hAnsi="Arial" w:eastAsia="Arial" w:cs="Arial"/>
      <w:i/>
      <w:iCs/>
      <w:sz w:val="21"/>
      <w:szCs w:val="21"/>
    </w:rPr>
  </w:style>
  <w:style w:type="character" w:styleId="678">
    <w:name w:val="Heading 9 Char"/>
    <w:basedOn w:val="834"/>
    <w:link w:val="677"/>
    <w:uiPriority w:val="9"/>
    <w:rPr>
      <w:rFonts w:ascii="Arial" w:hAnsi="Arial" w:eastAsia="Arial" w:cs="Arial"/>
      <w:i/>
      <w:iCs/>
      <w:sz w:val="21"/>
      <w:szCs w:val="21"/>
    </w:rPr>
  </w:style>
  <w:style w:type="paragraph" w:styleId="679">
    <w:name w:val="No Spacing"/>
    <w:uiPriority w:val="1"/>
    <w:qFormat/>
    <w:pPr>
      <w:spacing w:before="0" w:after="0" w:line="240" w:lineRule="auto"/>
    </w:pPr>
  </w:style>
  <w:style w:type="paragraph" w:styleId="680">
    <w:name w:val="Title"/>
    <w:basedOn w:val="832"/>
    <w:next w:val="832"/>
    <w:link w:val="681"/>
    <w:uiPriority w:val="10"/>
    <w:qFormat/>
    <w:pPr>
      <w:contextualSpacing/>
      <w:spacing w:before="300" w:after="200"/>
    </w:pPr>
    <w:rPr>
      <w:sz w:val="48"/>
      <w:szCs w:val="48"/>
    </w:rPr>
  </w:style>
  <w:style w:type="character" w:styleId="681">
    <w:name w:val="Title Char"/>
    <w:basedOn w:val="834"/>
    <w:link w:val="680"/>
    <w:uiPriority w:val="10"/>
    <w:rPr>
      <w:sz w:val="48"/>
      <w:szCs w:val="48"/>
    </w:rPr>
  </w:style>
  <w:style w:type="paragraph" w:styleId="682">
    <w:name w:val="Subtitle"/>
    <w:basedOn w:val="832"/>
    <w:next w:val="832"/>
    <w:link w:val="683"/>
    <w:uiPriority w:val="11"/>
    <w:qFormat/>
    <w:pPr>
      <w:spacing w:before="200" w:after="200"/>
    </w:pPr>
    <w:rPr>
      <w:sz w:val="24"/>
      <w:szCs w:val="24"/>
    </w:rPr>
  </w:style>
  <w:style w:type="character" w:styleId="683">
    <w:name w:val="Subtitle Char"/>
    <w:basedOn w:val="834"/>
    <w:link w:val="682"/>
    <w:uiPriority w:val="11"/>
    <w:rPr>
      <w:sz w:val="24"/>
      <w:szCs w:val="24"/>
    </w:rPr>
  </w:style>
  <w:style w:type="paragraph" w:styleId="684">
    <w:name w:val="Quote"/>
    <w:basedOn w:val="832"/>
    <w:next w:val="832"/>
    <w:link w:val="685"/>
    <w:uiPriority w:val="29"/>
    <w:qFormat/>
    <w:pPr>
      <w:ind w:left="720" w:right="720"/>
    </w:pPr>
    <w:rPr>
      <w:i/>
    </w:rPr>
  </w:style>
  <w:style w:type="character" w:styleId="685">
    <w:name w:val="Quote Char"/>
    <w:link w:val="684"/>
    <w:uiPriority w:val="29"/>
    <w:rPr>
      <w:i/>
    </w:rPr>
  </w:style>
  <w:style w:type="paragraph" w:styleId="686">
    <w:name w:val="Intense Quote"/>
    <w:basedOn w:val="832"/>
    <w:next w:val="832"/>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character" w:styleId="688">
    <w:name w:val="Header Char"/>
    <w:basedOn w:val="834"/>
    <w:link w:val="845"/>
    <w:uiPriority w:val="99"/>
  </w:style>
  <w:style w:type="character" w:styleId="689">
    <w:name w:val="Footer Char"/>
    <w:basedOn w:val="834"/>
    <w:link w:val="844"/>
    <w:uiPriority w:val="99"/>
  </w:style>
  <w:style w:type="paragraph" w:styleId="690">
    <w:name w:val="Caption"/>
    <w:basedOn w:val="832"/>
    <w:next w:val="832"/>
    <w:uiPriority w:val="35"/>
    <w:semiHidden/>
    <w:unhideWhenUsed/>
    <w:qFormat/>
    <w:pPr>
      <w:spacing w:line="276" w:lineRule="auto"/>
    </w:pPr>
    <w:rPr>
      <w:b/>
      <w:bCs/>
      <w:color w:val="4f81bd" w:themeColor="accent1"/>
      <w:sz w:val="18"/>
      <w:szCs w:val="18"/>
    </w:rPr>
  </w:style>
  <w:style w:type="character" w:styleId="691">
    <w:name w:val="Caption Char"/>
    <w:basedOn w:val="690"/>
    <w:link w:val="844"/>
    <w:uiPriority w:val="99"/>
  </w:style>
  <w:style w:type="table" w:styleId="692">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8">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9">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0">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1">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2">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3">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3">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4">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5">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6">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7">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8">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1">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2">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3">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4">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4">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5">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6">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7">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8">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9">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1">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2">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3">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4">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5">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6">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8">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9">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0">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1">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2">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3">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7">
    <w:name w:val="footnote text"/>
    <w:basedOn w:val="832"/>
    <w:link w:val="818"/>
    <w:uiPriority w:val="99"/>
    <w:semiHidden/>
    <w:unhideWhenUsed/>
    <w:pPr>
      <w:spacing w:after="40" w:line="240" w:lineRule="auto"/>
    </w:pPr>
    <w:rPr>
      <w:sz w:val="18"/>
    </w:rPr>
  </w:style>
  <w:style w:type="character" w:styleId="818">
    <w:name w:val="Footnote Text Char"/>
    <w:link w:val="817"/>
    <w:uiPriority w:val="99"/>
    <w:rPr>
      <w:sz w:val="18"/>
    </w:rPr>
  </w:style>
  <w:style w:type="character" w:styleId="819">
    <w:name w:val="footnote reference"/>
    <w:basedOn w:val="834"/>
    <w:uiPriority w:val="99"/>
    <w:unhideWhenUsed/>
    <w:rPr>
      <w:vertAlign w:val="superscript"/>
    </w:rPr>
  </w:style>
  <w:style w:type="paragraph" w:styleId="820">
    <w:name w:val="endnote text"/>
    <w:basedOn w:val="832"/>
    <w:link w:val="821"/>
    <w:uiPriority w:val="99"/>
    <w:semiHidden/>
    <w:unhideWhenUsed/>
    <w:pPr>
      <w:spacing w:after="0" w:line="240" w:lineRule="auto"/>
    </w:pPr>
    <w:rPr>
      <w:sz w:val="20"/>
    </w:rPr>
  </w:style>
  <w:style w:type="character" w:styleId="821">
    <w:name w:val="Endnote Text Char"/>
    <w:link w:val="820"/>
    <w:uiPriority w:val="99"/>
    <w:rPr>
      <w:sz w:val="20"/>
    </w:rPr>
  </w:style>
  <w:style w:type="character" w:styleId="822">
    <w:name w:val="endnote reference"/>
    <w:basedOn w:val="834"/>
    <w:uiPriority w:val="99"/>
    <w:semiHidden/>
    <w:unhideWhenUsed/>
    <w:rPr>
      <w:vertAlign w:val="superscript"/>
    </w:rPr>
  </w:style>
  <w:style w:type="paragraph" w:styleId="823">
    <w:name w:val="toc 3"/>
    <w:basedOn w:val="832"/>
    <w:next w:val="832"/>
    <w:uiPriority w:val="39"/>
    <w:unhideWhenUsed/>
    <w:pPr>
      <w:ind w:left="567" w:right="0" w:firstLine="0"/>
      <w:spacing w:after="57"/>
    </w:p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next w:val="836"/>
    <w:uiPriority w:val="0"/>
    <w:qFormat/>
    <w:pPr>
      <w:jc w:val="both"/>
      <w:widowControl w:val="off"/>
    </w:pPr>
    <w:rPr>
      <w:rFonts w:ascii="Times New Roman" w:hAnsi="Times New Roman" w:eastAsia="宋体" w:cs="Times New Roman"/>
      <w:sz w:val="21"/>
      <w:lang w:val="en-US" w:eastAsia="zh-CN" w:bidi="ar-SA"/>
    </w:rPr>
  </w:style>
  <w:style w:type="paragraph" w:styleId="833">
    <w:name w:val="Heading 3"/>
    <w:basedOn w:val="832"/>
    <w:next w:val="832"/>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834" w:default="1">
    <w:name w:val="Default Paragraph Font"/>
    <w:uiPriority w:val="0"/>
    <w:semiHidden/>
    <w:qFormat/>
  </w:style>
  <w:style w:type="table" w:styleId="835" w:default="1">
    <w:name w:val="Normal Table"/>
    <w:uiPriority w:val="0"/>
    <w:semiHidden/>
    <w:qFormat/>
    <w:tblPr>
      <w:tblCellMar>
        <w:left w:w="108" w:type="dxa"/>
        <w:top w:w="0" w:type="dxa"/>
        <w:right w:w="108" w:type="dxa"/>
        <w:bottom w:w="0" w:type="dxa"/>
      </w:tblCellMar>
    </w:tblPr>
  </w:style>
  <w:style w:type="paragraph" w:styleId="836">
    <w:name w:val="Body Text"/>
    <w:basedOn w:val="832"/>
    <w:uiPriority w:val="99"/>
    <w:qFormat/>
    <w:rPr>
      <w:rFonts w:ascii="华文中宋" w:eastAsia="华文中宋"/>
      <w:bCs/>
      <w:sz w:val="28"/>
    </w:rPr>
  </w:style>
  <w:style w:type="paragraph" w:styleId="837">
    <w:name w:val="Normal Indent"/>
    <w:basedOn w:val="832"/>
    <w:uiPriority w:val="0"/>
    <w:qFormat/>
    <w:pPr>
      <w:ind w:firstLine="420"/>
    </w:pPr>
  </w:style>
  <w:style w:type="paragraph" w:styleId="838">
    <w:name w:val="annotation text"/>
    <w:basedOn w:val="832"/>
    <w:uiPriority w:val="0"/>
    <w:qFormat/>
    <w:pPr>
      <w:jc w:val="left"/>
    </w:pPr>
  </w:style>
  <w:style w:type="paragraph" w:styleId="839">
    <w:name w:val="Body Text Indent"/>
    <w:basedOn w:val="832"/>
    <w:next w:val="840"/>
    <w:uiPriority w:val="99"/>
    <w:qFormat/>
    <w:pPr>
      <w:ind w:firstLine="540"/>
      <w:spacing w:line="360" w:lineRule="auto"/>
      <w:widowControl/>
    </w:pPr>
    <w:rPr>
      <w:rFonts w:ascii="宋体" w:hAnsi="MS Sans Serif"/>
      <w:spacing w:val="12"/>
      <w:sz w:val="24"/>
    </w:rPr>
  </w:style>
  <w:style w:type="paragraph" w:styleId="840">
    <w:name w:val="envelope return"/>
    <w:basedOn w:val="832"/>
    <w:uiPriority w:val="0"/>
    <w:qFormat/>
    <w:rPr>
      <w:rFonts w:ascii="Arial" w:hAnsi="Arial"/>
    </w:rPr>
  </w:style>
  <w:style w:type="paragraph" w:styleId="841">
    <w:name w:val="Block Text"/>
    <w:basedOn w:val="832"/>
    <w:uiPriority w:val="0"/>
    <w:qFormat/>
    <w:pPr>
      <w:ind w:left="420" w:right="33"/>
      <w:jc w:val="left"/>
    </w:pPr>
    <w:rPr>
      <w:sz w:val="24"/>
      <w:szCs w:val="20"/>
    </w:rPr>
  </w:style>
  <w:style w:type="paragraph" w:styleId="842">
    <w:name w:val="index 4"/>
    <w:basedOn w:val="832"/>
    <w:next w:val="832"/>
    <w:uiPriority w:val="99"/>
    <w:qFormat/>
    <w:pPr>
      <w:ind w:left="600"/>
    </w:pPr>
    <w:rPr>
      <w:szCs w:val="24"/>
    </w:rPr>
  </w:style>
  <w:style w:type="paragraph" w:styleId="843">
    <w:name w:val="Date"/>
    <w:basedOn w:val="832"/>
    <w:next w:val="832"/>
    <w:uiPriority w:val="99"/>
    <w:qFormat/>
    <w:rPr>
      <w:sz w:val="24"/>
    </w:rPr>
  </w:style>
  <w:style w:type="paragraph" w:styleId="844">
    <w:name w:val="Footer"/>
    <w:basedOn w:val="832"/>
    <w:uiPriority w:val="99"/>
    <w:qFormat/>
    <w:pPr>
      <w:jc w:val="left"/>
      <w:tabs>
        <w:tab w:val="center" w:pos="4153" w:leader="none"/>
        <w:tab w:val="right" w:pos="8306" w:leader="none"/>
      </w:tabs>
    </w:pPr>
    <w:rPr>
      <w:sz w:val="18"/>
      <w:szCs w:val="18"/>
    </w:rPr>
  </w:style>
  <w:style w:type="paragraph" w:styleId="845">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846">
    <w:name w:val="toc 1"/>
    <w:basedOn w:val="832"/>
    <w:next w:val="832"/>
    <w:uiPriority w:val="39"/>
    <w:qFormat/>
    <w:pPr>
      <w:jc w:val="center"/>
      <w:spacing w:before="120" w:after="120"/>
      <w:tabs>
        <w:tab w:val="right" w:pos="9170" w:leader="dot"/>
      </w:tabs>
    </w:pPr>
    <w:rPr>
      <w:rFonts w:eastAsia="文鼎小标宋简"/>
      <w:caps/>
      <w:sz w:val="32"/>
      <w:szCs w:val="32"/>
    </w:rPr>
  </w:style>
  <w:style w:type="paragraph" w:styleId="847">
    <w:name w:val="List"/>
    <w:basedOn w:val="832"/>
    <w:uiPriority w:val="0"/>
    <w:qFormat/>
    <w:pPr>
      <w:ind w:left="450" w:hanging="450"/>
      <w:spacing w:after="20" w:line="288" w:lineRule="auto"/>
      <w:tabs>
        <w:tab w:val="left" w:pos="420" w:leader="none"/>
        <w:tab w:val="left" w:pos="450" w:leader="none"/>
        <w:tab w:val="left" w:pos="898" w:leader="none"/>
      </w:tabs>
    </w:pPr>
  </w:style>
  <w:style w:type="paragraph" w:styleId="848">
    <w:name w:val="toc 2"/>
    <w:basedOn w:val="832"/>
    <w:next w:val="832"/>
    <w:uiPriority w:val="39"/>
    <w:qFormat/>
    <w:pPr>
      <w:ind w:left="210" w:firstLine="150"/>
      <w:jc w:val="left"/>
      <w:tabs>
        <w:tab w:val="right" w:pos="9170" w:leader="dot"/>
      </w:tabs>
    </w:pPr>
    <w:rPr>
      <w:smallCaps/>
      <w:sz w:val="20"/>
    </w:rPr>
  </w:style>
  <w:style w:type="paragraph" w:styleId="849">
    <w:name w:val="Normal (Web)"/>
    <w:basedOn w:val="832"/>
    <w:uiPriority w:val="99"/>
    <w:qFormat/>
    <w:pPr>
      <w:jc w:val="left"/>
      <w:spacing w:before="100" w:beforeAutospacing="1" w:after="100" w:afterAutospacing="1"/>
      <w:widowControl/>
    </w:pPr>
    <w:rPr>
      <w:rFonts w:ascii="宋体" w:hAnsi="宋体" w:cs="宋体"/>
      <w:sz w:val="24"/>
      <w:szCs w:val="24"/>
    </w:rPr>
  </w:style>
  <w:style w:type="paragraph" w:styleId="850">
    <w:name w:val="Body Text First Indent"/>
    <w:basedOn w:val="836"/>
    <w:link w:val="854"/>
    <w:uiPriority w:val="0"/>
    <w:qFormat/>
    <w:pPr>
      <w:ind w:firstLine="420"/>
      <w:spacing w:after="120"/>
    </w:pPr>
    <w:rPr>
      <w:rFonts w:ascii="Times New Roman" w:eastAsia="宋体"/>
      <w:bCs w:val="0"/>
      <w:sz w:val="21"/>
    </w:rPr>
  </w:style>
  <w:style w:type="table" w:styleId="851">
    <w:name w:val="Table Grid"/>
    <w:basedOn w:val="8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page number"/>
    <w:basedOn w:val="834"/>
    <w:uiPriority w:val="0"/>
    <w:qFormat/>
  </w:style>
  <w:style w:type="character" w:styleId="853">
    <w:name w:val="Hyperlink"/>
    <w:basedOn w:val="834"/>
    <w:uiPriority w:val="0"/>
    <w:qFormat/>
    <w:rPr>
      <w:color w:val="0000ff"/>
      <w:u w:val="single"/>
    </w:rPr>
  </w:style>
  <w:style w:type="character" w:styleId="854" w:customStyle="1">
    <w:name w:val="正文首行缩进 Char"/>
    <w:link w:val="850"/>
    <w:uiPriority w:val="0"/>
    <w:qFormat/>
    <w:rPr>
      <w:rFonts w:ascii="Times New Roman" w:eastAsia="宋体"/>
      <w:sz w:val="21"/>
    </w:rPr>
  </w:style>
  <w:style w:type="paragraph" w:styleId="855" w:customStyle="1">
    <w:name w:val="List Paragraph"/>
    <w:basedOn w:val="832"/>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856" w:customStyle="1">
    <w:name w:val="Body Text Indent 21"/>
    <w:basedOn w:val="832"/>
    <w:uiPriority w:val="0"/>
    <w:qFormat/>
    <w:pPr>
      <w:ind w:left="200"/>
      <w:spacing w:before="100" w:beforeAutospacing="1" w:after="100" w:afterAutospacing="1" w:line="480" w:lineRule="auto"/>
    </w:pPr>
    <w:rPr>
      <w:rFonts w:ascii="Calibri" w:hAnsi="Calibri"/>
    </w:rPr>
  </w:style>
  <w:style w:type="paragraph" w:styleId="857" w:customStyle="1">
    <w:name w:val="_Style 6"/>
    <w:basedOn w:val="832"/>
    <w:uiPriority w:val="34"/>
    <w:qFormat/>
    <w:pPr>
      <w:ind w:firstLine="420"/>
    </w:pPr>
    <w:rPr>
      <w:szCs w:val="24"/>
    </w:rPr>
  </w:style>
  <w:style w:type="paragraph" w:styleId="858" w:customStyle="1">
    <w:name w:val="List Paragraph1"/>
    <w:basedOn w:val="832"/>
    <w:uiPriority w:val="0"/>
    <w:qFormat/>
    <w:pPr>
      <w:ind w:firstLine="420"/>
    </w:pPr>
    <w:rPr>
      <w:szCs w:val="21"/>
    </w:rPr>
  </w:style>
  <w:style w:type="paragraph" w:styleId="859"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paragraph" w:styleId="860" w:customStyle="1">
    <w:name w:val="TOC Heading1"/>
    <w:next w:val="832"/>
    <w:uiPriority w:val="0"/>
    <w:qFormat/>
    <w:rPr>
      <w:rFonts w:hint="default" w:ascii="Times New Roman" w:hAnsi="Times New Roman" w:eastAsia="宋体" w:cs="Times New Roman"/>
      <w:sz w:val="32"/>
      <w:lang w:val="en-US" w:eastAsia="zh-CN" w:bidi="ar-SA"/>
    </w:rPr>
  </w:style>
  <w:style w:type="numbering" w:styleId="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2</cp:revision>
  <dcterms:created xsi:type="dcterms:W3CDTF">2023-04-20T03:22:00Z</dcterms:created>
  <dcterms:modified xsi:type="dcterms:W3CDTF">2025-10-31T08:56:18Z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789ABCA879F3415F8E96A9B19E757C34_12</vt:lpwstr>
  </property>
  <property fmtid="{D5CDD505-2E9C-101B-9397-08002B2CF9AE}" pid="4" name="KSOTemplateDocerSaveRecord">
    <vt:lpwstr>eyJoZGlkIjoiMDgzM2JjOTYzZjVkZjI3NDFmYmZmZDgxMjU4NThiNzEiLCJ1c2VySWQiOiIzMDYyODI0MDcifQ==</vt:lpwstr>
  </property>
</Properties>
</file>